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A428" w14:textId="0CFE02CE" w:rsidR="008F5A11" w:rsidRPr="008A35B1" w:rsidRDefault="008F5A11" w:rsidP="00B95031">
      <w:pPr>
        <w:tabs>
          <w:tab w:val="center" w:pos="4536"/>
          <w:tab w:val="right" w:pos="9356"/>
          <w:tab w:val="right" w:pos="9639"/>
        </w:tabs>
        <w:spacing w:after="0"/>
        <w:rPr>
          <w:rFonts w:ascii="Arial" w:hAnsi="Arial" w:cs="Arial"/>
          <w:b/>
          <w:bCs/>
          <w:sz w:val="24"/>
        </w:rPr>
      </w:pPr>
      <w:bookmarkStart w:id="0" w:name="_Hlk528952890"/>
      <w:r w:rsidRPr="008A35B1">
        <w:rPr>
          <w:rFonts w:ascii="Arial" w:hAnsi="Arial" w:cs="Arial"/>
          <w:b/>
          <w:bCs/>
          <w:sz w:val="24"/>
        </w:rPr>
        <w:t>3</w:t>
      </w:r>
      <w:bookmarkStart w:id="1" w:name="_Ref127559564"/>
      <w:bookmarkEnd w:id="1"/>
      <w:r w:rsidRPr="008A35B1">
        <w:rPr>
          <w:rFonts w:ascii="Arial" w:hAnsi="Arial" w:cs="Arial"/>
          <w:b/>
          <w:bCs/>
          <w:sz w:val="24"/>
        </w:rPr>
        <w:t>GPP TSG RAN WG1 Meeting #11</w:t>
      </w:r>
      <w:r w:rsidR="00B32750" w:rsidRPr="008A35B1">
        <w:rPr>
          <w:rFonts w:ascii="Arial" w:hAnsi="Arial" w:cs="Arial"/>
          <w:b/>
          <w:bCs/>
          <w:sz w:val="24"/>
        </w:rPr>
        <w:t>9</w:t>
      </w:r>
      <w:r w:rsidRPr="008A35B1">
        <w:rPr>
          <w:rFonts w:ascii="Arial" w:hAnsi="Arial" w:cs="Arial"/>
          <w:b/>
          <w:bCs/>
          <w:sz w:val="24"/>
        </w:rPr>
        <w:tab/>
      </w:r>
      <w:r w:rsidRPr="008A35B1">
        <w:rPr>
          <w:rFonts w:ascii="Arial" w:eastAsia="MS Mincho" w:hAnsi="Arial" w:cs="Arial"/>
          <w:b/>
          <w:bCs/>
          <w:sz w:val="24"/>
          <w:lang w:eastAsia="ja-JP"/>
        </w:rPr>
        <w:tab/>
      </w:r>
      <w:r w:rsidR="00CC3C5A" w:rsidRPr="008A35B1">
        <w:rPr>
          <w:rFonts w:ascii="Arial" w:hAnsi="Arial" w:cs="Arial"/>
          <w:b/>
          <w:bCs/>
          <w:sz w:val="24"/>
          <w:szCs w:val="24"/>
        </w:rPr>
        <w:t>R1-</w:t>
      </w:r>
      <w:r w:rsidR="00C97BAB" w:rsidRPr="008A35B1">
        <w:t xml:space="preserve"> </w:t>
      </w:r>
      <w:r w:rsidR="00DC6DCC" w:rsidRPr="008A35B1">
        <w:rPr>
          <w:rFonts w:ascii="Arial" w:hAnsi="Arial" w:cs="Arial"/>
          <w:b/>
          <w:bCs/>
          <w:sz w:val="24"/>
          <w:szCs w:val="24"/>
        </w:rPr>
        <w:t>24</w:t>
      </w:r>
      <w:r w:rsidR="00C72472">
        <w:rPr>
          <w:rFonts w:ascii="Arial" w:hAnsi="Arial" w:cs="Arial"/>
          <w:b/>
          <w:bCs/>
          <w:sz w:val="24"/>
          <w:szCs w:val="24"/>
        </w:rPr>
        <w:t>10316</w:t>
      </w:r>
    </w:p>
    <w:p w14:paraId="5E5587CB" w14:textId="2ABABCB7" w:rsidR="008F5A11" w:rsidRPr="00ED3D49" w:rsidRDefault="00B32750" w:rsidP="00B95031">
      <w:pPr>
        <w:pStyle w:val="Header"/>
        <w:rPr>
          <w:rFonts w:eastAsia="MS Mincho" w:cs="Arial"/>
          <w:bCs/>
          <w:noProof w:val="0"/>
          <w:sz w:val="24"/>
          <w:lang w:val="it-IT" w:eastAsia="ja-JP"/>
        </w:rPr>
      </w:pPr>
      <w:r w:rsidRPr="00ED3D49">
        <w:rPr>
          <w:rFonts w:eastAsia="MS Mincho" w:cs="Arial"/>
          <w:bCs/>
          <w:noProof w:val="0"/>
          <w:sz w:val="24"/>
          <w:lang w:val="it-IT" w:eastAsia="ja-JP"/>
        </w:rPr>
        <w:t>Orlando</w:t>
      </w:r>
      <w:r w:rsidR="00E20BBD" w:rsidRPr="00ED3D49">
        <w:rPr>
          <w:rFonts w:eastAsia="MS Mincho" w:cs="Arial"/>
          <w:bCs/>
          <w:noProof w:val="0"/>
          <w:sz w:val="24"/>
          <w:lang w:val="it-IT" w:eastAsia="ja-JP"/>
        </w:rPr>
        <w:t xml:space="preserve">, </w:t>
      </w:r>
      <w:r w:rsidRPr="00ED3D49">
        <w:rPr>
          <w:rFonts w:eastAsia="MS Mincho" w:cs="Arial"/>
          <w:bCs/>
          <w:noProof w:val="0"/>
          <w:sz w:val="24"/>
          <w:lang w:val="it-IT" w:eastAsia="ja-JP"/>
        </w:rPr>
        <w:t>USA</w:t>
      </w:r>
      <w:r w:rsidR="00FE6595" w:rsidRPr="00ED3D49">
        <w:rPr>
          <w:rFonts w:eastAsia="MS Mincho" w:cs="Arial"/>
          <w:bCs/>
          <w:noProof w:val="0"/>
          <w:sz w:val="24"/>
          <w:lang w:val="it-IT" w:eastAsia="ja-JP"/>
        </w:rPr>
        <w:t xml:space="preserve">, </w:t>
      </w:r>
      <w:r w:rsidR="001B633B" w:rsidRPr="00ED3D49">
        <w:rPr>
          <w:rFonts w:eastAsia="MS Mincho" w:cs="Arial"/>
          <w:bCs/>
          <w:noProof w:val="0"/>
          <w:sz w:val="24"/>
          <w:lang w:val="it-IT" w:eastAsia="ja-JP"/>
        </w:rPr>
        <w:t>Nov</w:t>
      </w:r>
      <w:r w:rsidR="001B633B">
        <w:rPr>
          <w:rFonts w:eastAsia="MS Mincho" w:cs="Arial"/>
          <w:bCs/>
          <w:noProof w:val="0"/>
          <w:sz w:val="24"/>
          <w:lang w:val="it-IT" w:eastAsia="ja-JP"/>
        </w:rPr>
        <w:t>embre</w:t>
      </w:r>
      <w:r w:rsidR="00FE6595" w:rsidRPr="00ED3D49">
        <w:rPr>
          <w:rFonts w:eastAsia="MS Mincho" w:cs="Arial"/>
          <w:bCs/>
          <w:noProof w:val="0"/>
          <w:sz w:val="24"/>
          <w:lang w:val="it-IT" w:eastAsia="ja-JP"/>
        </w:rPr>
        <w:t xml:space="preserve"> </w:t>
      </w:r>
      <w:r w:rsidR="00E20BBD" w:rsidRPr="00ED3D49">
        <w:rPr>
          <w:rFonts w:eastAsia="MS Mincho" w:cs="Arial"/>
          <w:bCs/>
          <w:noProof w:val="0"/>
          <w:sz w:val="24"/>
          <w:lang w:val="it-IT" w:eastAsia="ja-JP"/>
        </w:rPr>
        <w:t>1</w:t>
      </w:r>
      <w:r w:rsidRPr="00ED3D49">
        <w:rPr>
          <w:rFonts w:eastAsia="MS Mincho" w:cs="Arial"/>
          <w:bCs/>
          <w:noProof w:val="0"/>
          <w:sz w:val="24"/>
          <w:lang w:val="it-IT" w:eastAsia="ja-JP"/>
        </w:rPr>
        <w:t>8</w:t>
      </w:r>
      <w:r w:rsidR="00FE6595" w:rsidRPr="00ED3D49">
        <w:rPr>
          <w:rFonts w:eastAsia="MS Mincho" w:cs="Arial"/>
          <w:bCs/>
          <w:noProof w:val="0"/>
          <w:sz w:val="24"/>
          <w:lang w:val="it-IT" w:eastAsia="ja-JP"/>
        </w:rPr>
        <w:t xml:space="preserve">th – </w:t>
      </w:r>
      <w:r w:rsidRPr="00ED3D49">
        <w:rPr>
          <w:rFonts w:eastAsia="MS Mincho" w:cs="Arial"/>
          <w:bCs/>
          <w:noProof w:val="0"/>
          <w:sz w:val="24"/>
          <w:lang w:val="it-IT" w:eastAsia="ja-JP"/>
        </w:rPr>
        <w:t>22nd</w:t>
      </w:r>
      <w:r w:rsidR="00FE6595" w:rsidRPr="00ED3D49">
        <w:rPr>
          <w:rFonts w:eastAsia="MS Mincho" w:cs="Arial"/>
          <w:bCs/>
          <w:noProof w:val="0"/>
          <w:sz w:val="24"/>
          <w:lang w:val="it-IT" w:eastAsia="ja-JP"/>
        </w:rPr>
        <w:t>, 202</w:t>
      </w:r>
      <w:r w:rsidR="00C9084B" w:rsidRPr="00ED3D49">
        <w:rPr>
          <w:rFonts w:eastAsia="MS Mincho" w:cs="Arial"/>
          <w:bCs/>
          <w:noProof w:val="0"/>
          <w:sz w:val="24"/>
          <w:lang w:val="it-IT" w:eastAsia="ja-JP"/>
        </w:rPr>
        <w:t>4</w:t>
      </w:r>
    </w:p>
    <w:p w14:paraId="12475AEE" w14:textId="77777777" w:rsidR="008F5A11" w:rsidRPr="00ED3D49" w:rsidRDefault="008F5A11" w:rsidP="00B95031">
      <w:pPr>
        <w:pStyle w:val="Header"/>
        <w:rPr>
          <w:bCs/>
          <w:noProof w:val="0"/>
          <w:sz w:val="24"/>
          <w:lang w:val="it-IT" w:eastAsia="ja-JP"/>
        </w:rPr>
      </w:pPr>
    </w:p>
    <w:p w14:paraId="56780A51" w14:textId="6F9C6B6D" w:rsidR="008F5A11" w:rsidRPr="008A35B1" w:rsidRDefault="008F5A11" w:rsidP="00B95031">
      <w:pPr>
        <w:pStyle w:val="CRCoverPage"/>
        <w:rPr>
          <w:rFonts w:cs="Arial"/>
          <w:b/>
          <w:bCs/>
          <w:sz w:val="24"/>
          <w:lang w:eastAsia="ja-JP"/>
        </w:rPr>
      </w:pPr>
      <w:r w:rsidRPr="008A35B1">
        <w:rPr>
          <w:rFonts w:cs="Arial"/>
          <w:b/>
          <w:bCs/>
          <w:sz w:val="24"/>
        </w:rPr>
        <w:t xml:space="preserve">Agenda item:       </w:t>
      </w:r>
      <w:r w:rsidR="00F911E9" w:rsidRPr="008A35B1">
        <w:rPr>
          <w:rFonts w:cs="Arial"/>
          <w:b/>
          <w:bCs/>
          <w:sz w:val="24"/>
        </w:rPr>
        <w:t>9</w:t>
      </w:r>
      <w:r w:rsidR="005A289C" w:rsidRPr="008A35B1">
        <w:rPr>
          <w:rFonts w:cs="Arial"/>
          <w:b/>
          <w:bCs/>
          <w:sz w:val="24"/>
        </w:rPr>
        <w:t>.</w:t>
      </w:r>
      <w:r w:rsidR="00F911E9" w:rsidRPr="008A35B1">
        <w:rPr>
          <w:rFonts w:cs="Arial"/>
          <w:b/>
          <w:bCs/>
          <w:sz w:val="24"/>
        </w:rPr>
        <w:t>2</w:t>
      </w:r>
      <w:r w:rsidR="005A289C" w:rsidRPr="008A35B1">
        <w:rPr>
          <w:rFonts w:cs="Arial"/>
          <w:b/>
          <w:bCs/>
          <w:sz w:val="24"/>
        </w:rPr>
        <w:t>.</w:t>
      </w:r>
      <w:r w:rsidR="00F911E9" w:rsidRPr="008A35B1">
        <w:rPr>
          <w:rFonts w:cs="Arial"/>
          <w:b/>
          <w:bCs/>
          <w:sz w:val="24"/>
        </w:rPr>
        <w:t>2</w:t>
      </w:r>
    </w:p>
    <w:p w14:paraId="5630A58F" w14:textId="6E1AA93D" w:rsidR="008F5A11" w:rsidRPr="008A35B1" w:rsidRDefault="008F5A11" w:rsidP="00B95031">
      <w:pPr>
        <w:tabs>
          <w:tab w:val="left" w:pos="1985"/>
        </w:tabs>
        <w:spacing w:after="120"/>
        <w:ind w:left="1985" w:hanging="1985"/>
        <w:rPr>
          <w:rFonts w:ascii="Arial" w:hAnsi="Arial" w:cs="Arial"/>
          <w:b/>
          <w:bCs/>
          <w:sz w:val="24"/>
          <w:szCs w:val="24"/>
        </w:rPr>
      </w:pPr>
      <w:r w:rsidRPr="008A35B1">
        <w:rPr>
          <w:rFonts w:ascii="Arial" w:hAnsi="Arial" w:cs="Arial"/>
          <w:b/>
          <w:bCs/>
          <w:sz w:val="24"/>
          <w:szCs w:val="24"/>
        </w:rPr>
        <w:t xml:space="preserve">Source: </w:t>
      </w:r>
      <w:r w:rsidRPr="008A35B1">
        <w:rPr>
          <w:rFonts w:ascii="Arial" w:hAnsi="Arial" w:cs="Arial"/>
          <w:b/>
          <w:bCs/>
          <w:sz w:val="24"/>
        </w:rPr>
        <w:tab/>
      </w:r>
      <w:r w:rsidRPr="008A35B1">
        <w:rPr>
          <w:rFonts w:ascii="Arial" w:hAnsi="Arial" w:cs="Arial"/>
          <w:b/>
          <w:bCs/>
          <w:sz w:val="24"/>
          <w:szCs w:val="24"/>
        </w:rPr>
        <w:t>Nokia</w:t>
      </w:r>
    </w:p>
    <w:p w14:paraId="234C3A83" w14:textId="004FE0FC" w:rsidR="008F5A11" w:rsidRPr="008A35B1" w:rsidRDefault="008F5A11" w:rsidP="00B95031">
      <w:pPr>
        <w:ind w:left="1985" w:hanging="1985"/>
        <w:rPr>
          <w:rFonts w:ascii="Arial" w:hAnsi="Arial" w:cs="Arial"/>
          <w:b/>
          <w:bCs/>
          <w:sz w:val="24"/>
          <w:szCs w:val="24"/>
        </w:rPr>
      </w:pPr>
      <w:r w:rsidRPr="008A35B1">
        <w:rPr>
          <w:rFonts w:ascii="Arial" w:hAnsi="Arial" w:cs="Arial"/>
          <w:b/>
          <w:bCs/>
          <w:sz w:val="24"/>
          <w:szCs w:val="24"/>
        </w:rPr>
        <w:t xml:space="preserve">Title: </w:t>
      </w:r>
      <w:r w:rsidRPr="008A35B1">
        <w:rPr>
          <w:rFonts w:ascii="Arial" w:hAnsi="Arial" w:cs="Arial"/>
          <w:b/>
          <w:bCs/>
          <w:sz w:val="24"/>
        </w:rPr>
        <w:tab/>
      </w:r>
      <w:r w:rsidR="005A289C" w:rsidRPr="008A35B1">
        <w:rPr>
          <w:rFonts w:ascii="Arial" w:hAnsi="Arial" w:cs="Arial"/>
          <w:b/>
          <w:bCs/>
          <w:sz w:val="24"/>
        </w:rPr>
        <w:t xml:space="preserve">CSI enhancement for </w:t>
      </w:r>
      <w:r w:rsidR="00F40489" w:rsidRPr="008A35B1">
        <w:rPr>
          <w:rFonts w:ascii="Arial" w:hAnsi="Arial" w:cs="Arial"/>
          <w:b/>
          <w:bCs/>
          <w:sz w:val="24"/>
        </w:rPr>
        <w:t>NR MIMO Phase 5</w:t>
      </w:r>
    </w:p>
    <w:p w14:paraId="3E6D8C15" w14:textId="77777777" w:rsidR="008F5A11" w:rsidRPr="008A35B1" w:rsidRDefault="008F5A11" w:rsidP="00B95031">
      <w:pPr>
        <w:rPr>
          <w:rFonts w:ascii="Arial" w:hAnsi="Arial" w:cs="Arial"/>
          <w:b/>
          <w:bCs/>
          <w:sz w:val="24"/>
        </w:rPr>
      </w:pPr>
      <w:r w:rsidRPr="008A35B1">
        <w:rPr>
          <w:rFonts w:ascii="Arial" w:hAnsi="Arial" w:cs="Arial"/>
          <w:b/>
          <w:bCs/>
          <w:sz w:val="24"/>
        </w:rPr>
        <w:t>Document for:     Discussion and Decision</w:t>
      </w:r>
    </w:p>
    <w:p w14:paraId="0BA3C8F7" w14:textId="77777777" w:rsidR="008F5A11" w:rsidRPr="008A35B1" w:rsidRDefault="008F5A11" w:rsidP="00B95031">
      <w:pPr>
        <w:pStyle w:val="Heading1"/>
      </w:pPr>
      <w:r w:rsidRPr="008A35B1">
        <w:t>1</w:t>
      </w:r>
      <w:r w:rsidRPr="008A35B1">
        <w:tab/>
        <w:t>Introduction</w:t>
      </w:r>
    </w:p>
    <w:p w14:paraId="011BFBE5" w14:textId="0FE7B592" w:rsidR="005A289C" w:rsidRPr="008A35B1" w:rsidRDefault="001D6BB8" w:rsidP="005A289C">
      <w:r w:rsidRPr="008A35B1">
        <w:t>Based on the agreements reached in RAN1#11</w:t>
      </w:r>
      <w:r w:rsidR="008B461E" w:rsidRPr="008A35B1">
        <w:t>9</w:t>
      </w:r>
      <w:r w:rsidR="00D36DD6" w:rsidRPr="008A35B1">
        <w:t xml:space="preserve"> </w:t>
      </w:r>
      <w:r w:rsidR="00D36DD6" w:rsidRPr="008A35B1">
        <w:fldChar w:fldCharType="begin"/>
      </w:r>
      <w:r w:rsidR="00D36DD6" w:rsidRPr="008A35B1">
        <w:instrText xml:space="preserve"> REF _Ref118628904 \r \h </w:instrText>
      </w:r>
      <w:r w:rsidR="00D36DD6" w:rsidRPr="008A35B1">
        <w:fldChar w:fldCharType="separate"/>
      </w:r>
      <w:r w:rsidR="00761C39">
        <w:t>[2]</w:t>
      </w:r>
      <w:r w:rsidR="00D36DD6" w:rsidRPr="008A35B1">
        <w:fldChar w:fldCharType="end"/>
      </w:r>
      <w:r w:rsidRPr="008A35B1">
        <w:t xml:space="preserve"> and the revised WID</w:t>
      </w:r>
      <w:r w:rsidR="008B461E" w:rsidRPr="008A35B1">
        <w:t xml:space="preserve"> </w:t>
      </w:r>
      <w:r w:rsidR="008B461E" w:rsidRPr="008A35B1">
        <w:fldChar w:fldCharType="begin"/>
      </w:r>
      <w:r w:rsidR="008B461E" w:rsidRPr="008A35B1">
        <w:instrText xml:space="preserve"> REF _Ref177401453 \r \h </w:instrText>
      </w:r>
      <w:r w:rsidR="008B461E" w:rsidRPr="008A35B1">
        <w:fldChar w:fldCharType="separate"/>
      </w:r>
      <w:r w:rsidR="00761C39">
        <w:t>[1]</w:t>
      </w:r>
      <w:r w:rsidR="008B461E" w:rsidRPr="008A35B1">
        <w:fldChar w:fldCharType="end"/>
      </w:r>
      <w:r w:rsidRPr="008A35B1">
        <w:t xml:space="preserve">, </w:t>
      </w:r>
      <w:r w:rsidR="005401F0" w:rsidRPr="008A35B1">
        <w:t>i</w:t>
      </w:r>
      <w:r w:rsidR="005B4ECE" w:rsidRPr="008A35B1">
        <w:t xml:space="preserve">n this contribution we address </w:t>
      </w:r>
      <w:r w:rsidR="00CD37AF" w:rsidRPr="008A35B1">
        <w:t xml:space="preserve">some </w:t>
      </w:r>
      <w:r w:rsidR="008B461E" w:rsidRPr="008A35B1">
        <w:t xml:space="preserve">remaining </w:t>
      </w:r>
      <w:r w:rsidR="00E91625" w:rsidRPr="008A35B1">
        <w:t>issues</w:t>
      </w:r>
      <w:r w:rsidR="00AD0691" w:rsidRPr="008A35B1">
        <w:t xml:space="preserve"> </w:t>
      </w:r>
      <w:r w:rsidR="004F5F67" w:rsidRPr="008A35B1">
        <w:t>regarding</w:t>
      </w:r>
      <w:r w:rsidR="00AD0691" w:rsidRPr="008A35B1">
        <w:t xml:space="preserve"> </w:t>
      </w:r>
      <w:r w:rsidR="006B0D5A" w:rsidRPr="008A35B1">
        <w:t>Type-I</w:t>
      </w:r>
      <w:r w:rsidR="00B66572" w:rsidRPr="008A35B1">
        <w:t xml:space="preserve"> </w:t>
      </w:r>
      <w:r w:rsidR="006B0D5A" w:rsidRPr="008A35B1">
        <w:t>extension for up to 128 ports</w:t>
      </w:r>
      <w:r w:rsidR="00E468E3" w:rsidRPr="008A35B1">
        <w:t xml:space="preserve"> </w:t>
      </w:r>
      <w:r w:rsidR="00F766BF" w:rsidRPr="008A35B1">
        <w:t xml:space="preserve">and UE-assisted CJT calibration for nonideal </w:t>
      </w:r>
      <w:r w:rsidR="00B61139" w:rsidRPr="008A35B1">
        <w:t>backhaul and synchronisation</w:t>
      </w:r>
      <w:r w:rsidR="00D36DD6" w:rsidRPr="008A35B1">
        <w:t>:</w:t>
      </w:r>
    </w:p>
    <w:p w14:paraId="0B05D382" w14:textId="77777777" w:rsidR="001D6BB8" w:rsidRPr="008A35B1" w:rsidRDefault="001D6BB8" w:rsidP="005A289C"/>
    <w:tbl>
      <w:tblPr>
        <w:tblW w:w="0" w:type="auto"/>
        <w:tblCellMar>
          <w:left w:w="0" w:type="dxa"/>
          <w:right w:w="0" w:type="dxa"/>
        </w:tblCellMar>
        <w:tblLook w:val="04A0" w:firstRow="1" w:lastRow="0" w:firstColumn="1" w:lastColumn="0" w:noHBand="0" w:noVBand="1"/>
      </w:tblPr>
      <w:tblGrid>
        <w:gridCol w:w="496"/>
        <w:gridCol w:w="1359"/>
        <w:gridCol w:w="7764"/>
      </w:tblGrid>
      <w:tr w:rsidR="008B461E" w:rsidRPr="008B461E" w14:paraId="55178C0D" w14:textId="77777777" w:rsidTr="008B461E">
        <w:tc>
          <w:tcPr>
            <w:tcW w:w="503"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B386A3" w14:textId="77777777" w:rsidR="008B461E" w:rsidRPr="008B461E" w:rsidRDefault="008B461E" w:rsidP="008B461E">
            <w:pPr>
              <w:spacing w:after="0" w:line="240" w:lineRule="auto"/>
              <w:rPr>
                <w:rFonts w:ascii="Calibri" w:eastAsia="Malgun Gothic" w:hAnsi="Calibri" w:cstheme="minorHAnsi"/>
                <w:b/>
                <w:bCs/>
                <w:lang w:eastAsia="ko-KR"/>
              </w:rPr>
            </w:pPr>
          </w:p>
        </w:tc>
        <w:tc>
          <w:tcPr>
            <w:tcW w:w="1371"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340EEC3" w14:textId="77777777" w:rsidR="008B461E" w:rsidRPr="008B461E" w:rsidRDefault="008B461E" w:rsidP="008B461E">
            <w:pPr>
              <w:spacing w:after="0" w:line="240" w:lineRule="auto"/>
              <w:rPr>
                <w:rFonts w:ascii="Calibri" w:eastAsia="Malgun Gothic" w:hAnsi="Calibri" w:cstheme="minorHAnsi"/>
                <w:b/>
                <w:bCs/>
                <w:lang w:eastAsia="ko-KR"/>
              </w:rPr>
            </w:pPr>
            <w:r w:rsidRPr="008B461E">
              <w:rPr>
                <w:rFonts w:ascii="Calibri" w:eastAsia="Malgun Gothic" w:hAnsi="Calibri" w:cstheme="minorHAnsi"/>
                <w:b/>
                <w:bCs/>
                <w:lang w:eastAsia="ko-KR"/>
              </w:rPr>
              <w:t>Issue</w:t>
            </w:r>
          </w:p>
        </w:tc>
        <w:tc>
          <w:tcPr>
            <w:tcW w:w="8042"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D14769F" w14:textId="77777777" w:rsidR="008B461E" w:rsidRPr="008B461E" w:rsidRDefault="008B461E" w:rsidP="008B461E">
            <w:pPr>
              <w:spacing w:after="0" w:line="240" w:lineRule="auto"/>
              <w:rPr>
                <w:rFonts w:ascii="Calibri" w:eastAsia="Malgun Gothic" w:hAnsi="Calibri" w:cstheme="minorHAnsi"/>
                <w:b/>
                <w:bCs/>
                <w:lang w:eastAsia="ko-KR"/>
              </w:rPr>
            </w:pPr>
            <w:r w:rsidRPr="008B461E">
              <w:rPr>
                <w:rFonts w:ascii="Calibri" w:eastAsia="Malgun Gothic" w:hAnsi="Calibri" w:cstheme="minorHAnsi"/>
                <w:b/>
                <w:bCs/>
                <w:lang w:eastAsia="ko-KR"/>
              </w:rPr>
              <w:t>Topic</w:t>
            </w:r>
          </w:p>
        </w:tc>
      </w:tr>
      <w:tr w:rsidR="008B461E" w:rsidRPr="008B461E" w14:paraId="69BD49A3"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4A3D8"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46EE5622"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06B26D3" w14:textId="77777777" w:rsidR="008B461E" w:rsidRPr="008B461E" w:rsidRDefault="008B461E" w:rsidP="008B461E">
            <w:pPr>
              <w:snapToGrid w:val="0"/>
              <w:spacing w:after="0" w:line="240" w:lineRule="auto"/>
              <w:rPr>
                <w:rFonts w:ascii="Calibri" w:eastAsiaTheme="minorEastAsia" w:hAnsi="Calibri" w:cs="Calibri"/>
                <w:szCs w:val="22"/>
                <w:lang w:eastAsia="ko-KR"/>
              </w:rPr>
            </w:pPr>
            <w:r w:rsidRPr="008B461E">
              <w:rPr>
                <w:rFonts w:ascii="Calibri" w:eastAsiaTheme="minorEastAsia" w:hAnsi="Calibri" w:cs="Calibri"/>
                <w:szCs w:val="22"/>
                <w:lang w:eastAsia="ko-KR"/>
              </w:rPr>
              <w:t>Soft scaling RI=2: down-select 7 alternatives</w:t>
            </w:r>
          </w:p>
        </w:tc>
      </w:tr>
      <w:tr w:rsidR="008B461E" w:rsidRPr="008B461E" w14:paraId="105AE311"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EDC04" w14:textId="77777777" w:rsidR="008B461E" w:rsidRPr="008B461E" w:rsidRDefault="008B461E" w:rsidP="008B461E">
            <w:pPr>
              <w:snapToGrid w:val="0"/>
              <w:spacing w:after="0" w:line="240" w:lineRule="auto"/>
              <w:rPr>
                <w:rFonts w:ascii="Calibri" w:eastAsia="Malgun Gothic" w:hAnsi="Calibri" w:cstheme="minorHAnsi"/>
                <w:lang w:eastAsia="ko-KR"/>
              </w:rPr>
            </w:pPr>
            <w:r w:rsidRPr="008B461E">
              <w:rPr>
                <w:rFonts w:ascii="Calibri" w:eastAsiaTheme="minorEastAsia" w:hAnsi="Calibri" w:cs="Calibri"/>
                <w:lang w:eastAsia="ko-KR"/>
              </w:rPr>
              <w:t>2</w:t>
            </w:r>
          </w:p>
        </w:tc>
        <w:tc>
          <w:tcPr>
            <w:tcW w:w="0" w:type="auto"/>
            <w:vMerge/>
            <w:tcBorders>
              <w:left w:val="nil"/>
              <w:right w:val="single" w:sz="8" w:space="0" w:color="auto"/>
            </w:tcBorders>
            <w:vAlign w:val="center"/>
            <w:hideMark/>
          </w:tcPr>
          <w:p w14:paraId="3E0B4B36" w14:textId="77777777" w:rsidR="008B461E" w:rsidRPr="008B461E" w:rsidRDefault="008B461E" w:rsidP="008B461E">
            <w:pPr>
              <w:snapToGrid w:val="0"/>
              <w:spacing w:after="0" w:line="240" w:lineRule="auto"/>
              <w:rPr>
                <w:rFonts w:ascii="Calibri" w:eastAsia="Malgun Gothic" w:hAnsi="Calibri" w:cstheme="minorHAnsi"/>
                <w:lang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2513494" w14:textId="77777777" w:rsidR="008B461E" w:rsidRPr="008B461E" w:rsidRDefault="008B461E" w:rsidP="008B461E">
            <w:pPr>
              <w:snapToGrid w:val="0"/>
              <w:spacing w:after="0" w:line="240" w:lineRule="auto"/>
              <w:rPr>
                <w:rFonts w:ascii="Calibri" w:eastAsiaTheme="minorEastAsia" w:hAnsi="Calibri" w:cs="Calibri"/>
                <w:szCs w:val="22"/>
                <w:lang w:eastAsia="ko-KR"/>
              </w:rPr>
            </w:pPr>
            <w:r w:rsidRPr="008B461E">
              <w:rPr>
                <w:rFonts w:ascii="Calibri" w:eastAsiaTheme="minorEastAsia" w:hAnsi="Calibri" w:cs="Calibri"/>
                <w:szCs w:val="22"/>
                <w:lang w:eastAsia="ko-KR"/>
              </w:rPr>
              <w:t>Possible extension of Type-I SP to &lt;=32 ports</w:t>
            </w:r>
          </w:p>
        </w:tc>
      </w:tr>
      <w:tr w:rsidR="008B461E" w:rsidRPr="008B461E" w14:paraId="075E27AC"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5B9BA"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3</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2D10B"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3683"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 xml:space="preserve">Dd Linkage with separate triggering: 1) resource-common vs resource-specific 1-bit indicator, </w:t>
            </w:r>
          </w:p>
          <w:p w14:paraId="649A1D2D" w14:textId="77777777" w:rsidR="008B461E" w:rsidRPr="008B461E" w:rsidRDefault="008B461E" w:rsidP="008B461E">
            <w:pPr>
              <w:snapToGrid w:val="0"/>
              <w:spacing w:after="0" w:line="240" w:lineRule="auto"/>
              <w:rPr>
                <w:rFonts w:ascii="Calibri" w:eastAsiaTheme="minorEastAsia" w:hAnsi="Calibri" w:cs="Calibri"/>
                <w:lang w:eastAsia="ko-KR"/>
              </w:rPr>
            </w:pPr>
            <w:r w:rsidRPr="008B461E">
              <w:rPr>
                <w:rFonts w:ascii="Calibri" w:eastAsiaTheme="minorEastAsia" w:hAnsi="Calibri" w:cs="Calibri"/>
                <w:lang w:eastAsia="ko-KR"/>
              </w:rPr>
              <w:t>2) single trigger state with &gt;1 CSI reports</w:t>
            </w:r>
          </w:p>
        </w:tc>
      </w:tr>
      <w:tr w:rsidR="008B461E" w:rsidRPr="008B461E" w14:paraId="3D3A5434"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4A4E3" w14:textId="77777777" w:rsidR="008B461E" w:rsidRPr="008B461E" w:rsidRDefault="008B461E" w:rsidP="008B461E">
            <w:pPr>
              <w:snapToGrid w:val="0"/>
              <w:spacing w:after="0" w:line="240" w:lineRule="auto"/>
              <w:rPr>
                <w:rFonts w:ascii="Calibri" w:eastAsia="Malgun Gothic" w:hAnsi="Calibri" w:cstheme="minorHAnsi"/>
                <w:lang w:eastAsia="ko-KR"/>
              </w:rPr>
            </w:pPr>
            <w:r w:rsidRPr="008B461E">
              <w:rPr>
                <w:rFonts w:ascii="Calibri" w:eastAsia="Malgun Gothic" w:hAnsi="Calibri" w:cstheme="minorHAnsi"/>
                <w:lang w:eastAsia="ko-KR"/>
              </w:rPr>
              <w:t>4</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12D6632C" w14:textId="77777777" w:rsidR="008B461E" w:rsidRPr="008B461E" w:rsidRDefault="008B461E" w:rsidP="008B461E">
            <w:pPr>
              <w:snapToGrid w:val="0"/>
              <w:spacing w:after="0" w:line="240" w:lineRule="auto"/>
              <w:rPr>
                <w:rFonts w:ascii="Calibri" w:eastAsia="Malgun Gothic" w:hAnsi="Calibri" w:cstheme="minorHAnsi"/>
                <w:lang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5A74622" w14:textId="77777777" w:rsidR="008B461E" w:rsidRPr="008B461E" w:rsidRDefault="008B461E" w:rsidP="008B461E">
            <w:pPr>
              <w:snapToGrid w:val="0"/>
              <w:spacing w:after="0" w:line="240" w:lineRule="auto"/>
              <w:rPr>
                <w:rFonts w:ascii="Calibri" w:eastAsia="Malgun Gothic" w:hAnsi="Calibri" w:cstheme="minorHAnsi"/>
                <w:lang w:eastAsia="ko-KR"/>
              </w:rPr>
            </w:pPr>
            <w:r w:rsidRPr="008B461E">
              <w:rPr>
                <w:rFonts w:ascii="Calibri" w:eastAsiaTheme="minorEastAsia" w:hAnsi="Calibri" w:cs="Calibri"/>
                <w:lang w:eastAsia="ko-KR"/>
              </w:rPr>
              <w:t>Dd Linkage with joint triggering: timeline</w:t>
            </w:r>
          </w:p>
        </w:tc>
      </w:tr>
    </w:tbl>
    <w:p w14:paraId="691CE2DC" w14:textId="77777777" w:rsidR="008F5A11" w:rsidRPr="008A35B1" w:rsidRDefault="008F5A11" w:rsidP="00B95031"/>
    <w:p w14:paraId="000FF27F" w14:textId="77777777" w:rsidR="00B61139" w:rsidRPr="008A35B1" w:rsidRDefault="00B61139" w:rsidP="00B95031"/>
    <w:p w14:paraId="41F32E41" w14:textId="7F010B57" w:rsidR="00003344" w:rsidRPr="008A35B1" w:rsidRDefault="00724082" w:rsidP="001074E8">
      <w:pPr>
        <w:pStyle w:val="Heading1"/>
      </w:pPr>
      <w:bookmarkStart w:id="2" w:name="_Ref54348033"/>
      <w:r w:rsidRPr="008A35B1">
        <w:t>2</w:t>
      </w:r>
      <w:r w:rsidRPr="008A35B1">
        <w:tab/>
      </w:r>
      <w:r w:rsidR="00C349B1" w:rsidRPr="008A35B1">
        <w:t xml:space="preserve">Type-I/Type-II refinements for </w:t>
      </w:r>
      <w:r w:rsidR="009D1817" w:rsidRPr="008A35B1">
        <w:t>48, 64 and</w:t>
      </w:r>
      <w:r w:rsidR="00C349B1" w:rsidRPr="008A35B1">
        <w:t xml:space="preserve"> 128 ports</w:t>
      </w:r>
    </w:p>
    <w:p w14:paraId="0BFC3003" w14:textId="416B7091" w:rsidR="00372967" w:rsidRPr="008A35B1" w:rsidRDefault="00652F35" w:rsidP="006649F7">
      <w:pPr>
        <w:pStyle w:val="Heading2"/>
      </w:pPr>
      <w:r w:rsidRPr="008A35B1">
        <w:t>2.1</w:t>
      </w:r>
      <w:r w:rsidRPr="008A35B1">
        <w:tab/>
      </w:r>
      <w:r w:rsidR="002D0C3F" w:rsidRPr="008A35B1">
        <w:t>Beam-group soft</w:t>
      </w:r>
      <w:r w:rsidR="00D01478" w:rsidRPr="008A35B1">
        <w:t xml:space="preserve"> power</w:t>
      </w:r>
      <w:r w:rsidR="00A03E0F" w:rsidRPr="008A35B1">
        <w:t xml:space="preserve"> scaling</w:t>
      </w:r>
      <w:r w:rsidR="002D0C3F" w:rsidRPr="008A35B1">
        <w:t xml:space="preserve"> for Type-I</w:t>
      </w:r>
      <w:r w:rsidR="009D1817" w:rsidRPr="008A35B1">
        <w:t xml:space="preserve"> refinement</w:t>
      </w:r>
    </w:p>
    <w:p w14:paraId="0094AB19" w14:textId="7EC63A82" w:rsidR="00652F35" w:rsidRPr="008A35B1" w:rsidRDefault="00652F35" w:rsidP="00652F35">
      <w:pPr>
        <w:jc w:val="both"/>
      </w:pPr>
      <w:r w:rsidRPr="008A35B1">
        <w:t xml:space="preserve">In </w:t>
      </w:r>
      <w:r w:rsidR="00206B81">
        <w:t>the last few meetings</w:t>
      </w:r>
      <w:r w:rsidRPr="008A35B1">
        <w:t xml:space="preserve">, </w:t>
      </w:r>
      <w:r w:rsidR="00394EF4" w:rsidRPr="008A35B1">
        <w:t xml:space="preserve">a 3-bit scaling configuration applicable to SD bases was agreed for Type-I codebook extension for up to 128 ports and </w:t>
      </w:r>
      <w:r w:rsidR="003F3316">
        <w:t>restricted to rank 1 and 2 only.</w:t>
      </w:r>
      <w:r w:rsidR="002602BF">
        <w:t xml:space="preserve"> </w:t>
      </w:r>
      <w:r w:rsidR="002602BF" w:rsidRPr="008A35B1">
        <w:t>The main use case for introducing per-beam group transmit power back-off is to optimise CSI calculation in the presence of EIRP restrictions at elevation angles above the horizon. These restrictions on the expected EIRP spectral density have been introduced by ITU in the upper FR1 frequency band (6-7GHz) to control interference between mobile terrestrial and fixed satellite services, as described in Appendix A.</w:t>
      </w:r>
    </w:p>
    <w:p w14:paraId="5C94E7A0" w14:textId="77777777" w:rsidR="00394EF4" w:rsidRPr="00090394" w:rsidRDefault="00394EF4" w:rsidP="00394EF4">
      <w:pPr>
        <w:snapToGrid w:val="0"/>
        <w:spacing w:after="0" w:line="240" w:lineRule="auto"/>
        <w:rPr>
          <w:rFonts w:eastAsia="Batang"/>
          <w:i/>
          <w:iCs/>
          <w:highlight w:val="green"/>
        </w:rPr>
      </w:pPr>
      <w:r w:rsidRPr="00090394">
        <w:rPr>
          <w:rFonts w:eastAsia="Batang"/>
          <w:b/>
          <w:i/>
          <w:iCs/>
          <w:highlight w:val="green"/>
        </w:rPr>
        <w:t>Agreement</w:t>
      </w:r>
      <w:r w:rsidRPr="00090394">
        <w:rPr>
          <w:rFonts w:eastAsia="Batang"/>
          <w:i/>
          <w:iCs/>
          <w:kern w:val="24"/>
          <w:highlight w:val="yellow"/>
          <w:lang w:eastAsia="en-GB"/>
        </w:rPr>
        <w:t>(RAN1#117)</w:t>
      </w:r>
    </w:p>
    <w:p w14:paraId="5786DC56" w14:textId="77777777" w:rsidR="00394EF4" w:rsidRPr="00090394" w:rsidRDefault="00394EF4" w:rsidP="00394EF4">
      <w:pPr>
        <w:widowControl w:val="0"/>
        <w:snapToGrid w:val="0"/>
        <w:spacing w:after="0" w:line="240" w:lineRule="auto"/>
        <w:rPr>
          <w:rFonts w:eastAsia="Batang"/>
          <w:i/>
          <w:iCs/>
        </w:rPr>
      </w:pPr>
      <w:r w:rsidRPr="00090394">
        <w:rPr>
          <w:rFonts w:eastAsia="Batang"/>
          <w:i/>
          <w:iCs/>
        </w:rPr>
        <w:t>For the Rel-19 Type-I codebook refinement for 48, 64, and 128 CSI-RS ports, for RI=v=1, support the following:</w:t>
      </w:r>
    </w:p>
    <w:p w14:paraId="6BBFA8B4" w14:textId="5C4BFE93" w:rsidR="00394EF4" w:rsidRPr="00090394" w:rsidRDefault="00394EF4" w:rsidP="00394EF4">
      <w:pPr>
        <w:widowControl w:val="0"/>
        <w:numPr>
          <w:ilvl w:val="0"/>
          <w:numId w:val="22"/>
        </w:numPr>
        <w:snapToGrid w:val="0"/>
        <w:spacing w:after="0" w:line="240" w:lineRule="auto"/>
        <w:rPr>
          <w:rFonts w:eastAsia="Batang"/>
          <w:i/>
          <w:iCs/>
        </w:rPr>
      </w:pPr>
      <w:r w:rsidRPr="00090394">
        <w:rPr>
          <w:rFonts w:eastAsia="Batang"/>
          <w:i/>
          <w:iCs/>
        </w:rPr>
        <w:t xml:space="preserve">for each group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90394">
        <w:rPr>
          <w:rFonts w:eastAsia="Batang"/>
          <w:i/>
          <w:iCs/>
        </w:rPr>
        <w:t xml:space="preserve"> SD basis vectors, a 3-bit scaling factor can be NW-configured via higher-layer (RRC) signalling, where </w:t>
      </w:r>
      <w:r w:rsidRPr="002B5998">
        <w:rPr>
          <w:rFonts w:eastAsia="Batang"/>
          <w:i/>
          <w:iCs/>
          <w:highlight w:val="yellow"/>
        </w:rPr>
        <w:t>the scaling factors are defined as scalings on the power control offset configured for the associated CSI-RS resources</w:t>
      </w:r>
    </w:p>
    <w:p w14:paraId="32B7FCF3" w14:textId="2C7C6A02" w:rsidR="00394EF4" w:rsidRPr="00090394" w:rsidRDefault="00394EF4" w:rsidP="00394EF4">
      <w:pPr>
        <w:widowControl w:val="0"/>
        <w:numPr>
          <w:ilvl w:val="1"/>
          <w:numId w:val="22"/>
        </w:numPr>
        <w:snapToGrid w:val="0"/>
        <w:spacing w:after="0" w:line="240" w:lineRule="auto"/>
        <w:rPr>
          <w:rFonts w:eastAsia="Batang"/>
          <w:i/>
          <w:iCs/>
        </w:rPr>
      </w:pPr>
      <w:r w:rsidRPr="00090394">
        <w:rPr>
          <w:rFonts w:eastAsia="Batang"/>
          <w:i/>
          <w:iCs/>
        </w:rPr>
        <w:t xml:space="preserve">The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90394">
        <w:rPr>
          <w:rFonts w:eastAsia="Batang"/>
          <w:i/>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90394">
        <w:rPr>
          <w:rFonts w:eastAsia="Batang"/>
          <w:i/>
          <w:iCs/>
        </w:rPr>
        <w:t xml:space="preserve"> for this feature are separately configured from those for CBSR</w:t>
      </w:r>
    </w:p>
    <w:p w14:paraId="576FBDFC" w14:textId="77777777" w:rsidR="00394EF4" w:rsidRPr="00090394" w:rsidRDefault="00394EF4" w:rsidP="00394EF4">
      <w:pPr>
        <w:widowControl w:val="0"/>
        <w:numPr>
          <w:ilvl w:val="1"/>
          <w:numId w:val="22"/>
        </w:numPr>
        <w:snapToGrid w:val="0"/>
        <w:spacing w:after="0" w:line="240" w:lineRule="auto"/>
        <w:rPr>
          <w:rFonts w:eastAsia="Batang"/>
          <w:i/>
          <w:iCs/>
        </w:rPr>
      </w:pPr>
      <w:r w:rsidRPr="00090394">
        <w:rPr>
          <w:rFonts w:eastAsia="Batang"/>
          <w:i/>
          <w:iCs/>
        </w:rPr>
        <w:t>Separate configuration (RRC signalling) from CBSR</w:t>
      </w:r>
    </w:p>
    <w:p w14:paraId="74D83FDD" w14:textId="46436360" w:rsidR="00394EF4" w:rsidRPr="00090394" w:rsidRDefault="00394EF4" w:rsidP="00394EF4">
      <w:pPr>
        <w:widowControl w:val="0"/>
        <w:numPr>
          <w:ilvl w:val="1"/>
          <w:numId w:val="22"/>
        </w:numPr>
        <w:snapToGrid w:val="0"/>
        <w:spacing w:after="0" w:line="240" w:lineRule="auto"/>
        <w:rPr>
          <w:rFonts w:eastAsia="Batang"/>
          <w:i/>
          <w:iCs/>
        </w:rPr>
      </w:pPr>
      <w:r w:rsidRPr="00090394">
        <w:rPr>
          <w:rFonts w:eastAsia="Batang"/>
          <w:i/>
          <w:iCs/>
        </w:rPr>
        <w:t xml:space="preserve">The candidate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90394">
        <w:rPr>
          <w:rFonts w:eastAsia="Batang"/>
          <w:i/>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90394">
        <w:rPr>
          <w:rFonts w:eastAsia="Batang"/>
          <w:i/>
          <w:iCs/>
        </w:rPr>
        <w:t xml:space="preserve"> are the same as those agreed for CBSR</w:t>
      </w:r>
    </w:p>
    <w:p w14:paraId="271700E4" w14:textId="572AEC65" w:rsidR="00394EF4" w:rsidRPr="00090394" w:rsidRDefault="00394EF4" w:rsidP="00394EF4">
      <w:pPr>
        <w:widowControl w:val="0"/>
        <w:numPr>
          <w:ilvl w:val="0"/>
          <w:numId w:val="22"/>
        </w:numPr>
        <w:snapToGrid w:val="0"/>
        <w:spacing w:after="0" w:line="240" w:lineRule="auto"/>
        <w:rPr>
          <w:rFonts w:eastAsia="Batang"/>
          <w:i/>
          <w:iCs/>
        </w:rPr>
      </w:pPr>
      <w:r w:rsidRPr="00090394">
        <w:rPr>
          <w:rFonts w:eastAsia="Batang"/>
          <w:i/>
          <w:iCs/>
        </w:rPr>
        <w:t xml:space="preserve">The codepoints of each of the group-specific 3-bit scaling factors are mapped to values of </w:t>
      </w:r>
      <m:oMath>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1/2</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1/3</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1/4</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1/6</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1/8</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1/12</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1/16</m:t>
                </m:r>
              </m:e>
            </m:rad>
          </m:e>
        </m:d>
      </m:oMath>
    </w:p>
    <w:p w14:paraId="3889EB31" w14:textId="77777777" w:rsidR="00394EF4" w:rsidRPr="00090394" w:rsidRDefault="00394EF4" w:rsidP="00394EF4">
      <w:pPr>
        <w:widowControl w:val="0"/>
        <w:numPr>
          <w:ilvl w:val="0"/>
          <w:numId w:val="22"/>
        </w:numPr>
        <w:snapToGrid w:val="0"/>
        <w:spacing w:after="0" w:line="240" w:lineRule="auto"/>
        <w:rPr>
          <w:rFonts w:eastAsia="Batang"/>
          <w:i/>
          <w:iCs/>
        </w:rPr>
      </w:pPr>
      <w:r w:rsidRPr="00090394">
        <w:rPr>
          <w:rFonts w:eastAsia="Batang"/>
          <w:i/>
          <w:iCs/>
        </w:rPr>
        <w:t>Note: This feature is a separate UE capability</w:t>
      </w:r>
    </w:p>
    <w:p w14:paraId="1E1091C4" w14:textId="77777777" w:rsidR="00394EF4" w:rsidRPr="00090394" w:rsidRDefault="00394EF4" w:rsidP="00394EF4">
      <w:pPr>
        <w:snapToGrid w:val="0"/>
        <w:spacing w:after="180" w:line="240" w:lineRule="auto"/>
        <w:rPr>
          <w:rFonts w:eastAsia="Batang"/>
          <w:szCs w:val="24"/>
        </w:rPr>
      </w:pPr>
      <w:r w:rsidRPr="00090394">
        <w:rPr>
          <w:rFonts w:eastAsia="Batang"/>
          <w:i/>
          <w:iCs/>
          <w:szCs w:val="24"/>
        </w:rPr>
        <w:t>FFS: Whether this can be extended to RI=v&gt;1 as well as Type-II codebook refinement</w:t>
      </w:r>
      <w:r w:rsidRPr="00090394">
        <w:rPr>
          <w:rFonts w:eastAsia="Batang"/>
          <w:szCs w:val="24"/>
        </w:rPr>
        <w:t xml:space="preserve"> </w:t>
      </w:r>
    </w:p>
    <w:p w14:paraId="1244D134" w14:textId="77777777" w:rsidR="00E404E9" w:rsidRPr="00E404E9" w:rsidRDefault="00E404E9" w:rsidP="00E404E9">
      <w:pPr>
        <w:snapToGrid w:val="0"/>
        <w:spacing w:after="0" w:line="240" w:lineRule="auto"/>
        <w:jc w:val="both"/>
        <w:rPr>
          <w:rFonts w:ascii="Times" w:eastAsia="Malgun Gothic" w:hAnsi="Times" w:cs="Times"/>
          <w:b/>
          <w:i/>
          <w:iCs/>
          <w:lang w:eastAsia="ko-KR"/>
        </w:rPr>
      </w:pPr>
      <w:r w:rsidRPr="00E404E9">
        <w:rPr>
          <w:rFonts w:ascii="Times" w:eastAsia="Malgun Gothic" w:hAnsi="Times" w:cs="Times" w:hint="eastAsia"/>
          <w:b/>
          <w:i/>
          <w:iCs/>
          <w:highlight w:val="green"/>
          <w:lang w:eastAsia="ko-KR"/>
        </w:rPr>
        <w:t>Agreement</w:t>
      </w:r>
      <w:r w:rsidRPr="00E404E9">
        <w:rPr>
          <w:rFonts w:ascii="Times" w:eastAsia="Batang" w:hAnsi="Times"/>
          <w:i/>
          <w:iCs/>
          <w:kern w:val="24"/>
          <w:highlight w:val="yellow"/>
          <w:lang w:val="en-US" w:eastAsia="en-GB"/>
        </w:rPr>
        <w:t>(RAN1#118bis)</w:t>
      </w:r>
    </w:p>
    <w:p w14:paraId="751A7960" w14:textId="77777777" w:rsidR="00E404E9" w:rsidRPr="00E404E9" w:rsidRDefault="00E404E9" w:rsidP="00E404E9">
      <w:pPr>
        <w:snapToGrid w:val="0"/>
        <w:spacing w:after="0" w:line="240" w:lineRule="auto"/>
        <w:rPr>
          <w:rFonts w:ascii="Times" w:eastAsia="Batang" w:hAnsi="Times"/>
          <w:i/>
          <w:iCs/>
        </w:rPr>
      </w:pPr>
      <w:r w:rsidRPr="00E404E9">
        <w:rPr>
          <w:rFonts w:ascii="Times" w:eastAsia="Batang" w:hAnsi="Times"/>
          <w:i/>
          <w:iCs/>
        </w:rPr>
        <w:t xml:space="preserve">For the Rel-19 Type-I SP codebook refinement for 48, 64, and 128 CSI-RS ports, regarding the support for the 3-bit scaling factor(s) for RI=v &gt;1, support only for RI=v=2 without per-SD-basis-vector/layer power adjustment/boosting </w:t>
      </w:r>
    </w:p>
    <w:p w14:paraId="13AF4EA4" w14:textId="24737248" w:rsidR="00E404E9" w:rsidRPr="00E404E9" w:rsidRDefault="00E404E9" w:rsidP="00E404E9">
      <w:pPr>
        <w:numPr>
          <w:ilvl w:val="0"/>
          <w:numId w:val="38"/>
        </w:numPr>
        <w:snapToGrid w:val="0"/>
        <w:spacing w:after="0" w:line="240" w:lineRule="auto"/>
        <w:contextualSpacing/>
        <w:rPr>
          <w:rFonts w:ascii="Times" w:eastAsia="Batang" w:hAnsi="Times"/>
          <w:i/>
          <w:iCs/>
          <w:lang w:eastAsia="x-none"/>
        </w:rPr>
      </w:pPr>
      <w:r w:rsidRPr="00E404E9">
        <w:rPr>
          <w:rFonts w:ascii="Times" w:eastAsia="Batang" w:hAnsi="Times"/>
          <w:i/>
          <w:iCs/>
          <w:lang w:eastAsia="x-none"/>
        </w:rPr>
        <w:t xml:space="preserve">FFS: Details on per-layer scaling factor applied to each of the selected SD basis vectors, extending the agreed scaling factor for RI= v =1 </w:t>
      </w:r>
      <m:oMath>
        <m:sSub>
          <m:sSubPr>
            <m:ctrlPr>
              <w:rPr>
                <w:rFonts w:ascii="Cambria Math" w:eastAsia="Batang" w:hAnsi="Cambria Math"/>
                <w:i/>
                <w:iCs/>
                <w:lang w:eastAsia="x-none"/>
              </w:rPr>
            </m:ctrlPr>
          </m:sSubPr>
          <m:e>
            <m:r>
              <w:rPr>
                <w:rFonts w:ascii="Cambria Math" w:eastAsia="Batang" w:hAnsi="Cambria Math"/>
                <w:lang w:eastAsia="x-none"/>
              </w:rPr>
              <m:t>s</m:t>
            </m:r>
          </m:e>
          <m:sub>
            <m:r>
              <w:rPr>
                <w:rFonts w:ascii="Cambria Math" w:eastAsia="Batang" w:hAnsi="Cambria Math"/>
                <w:lang w:eastAsia="x-none"/>
              </w:rPr>
              <m:t>i</m:t>
            </m:r>
          </m:sub>
        </m:sSub>
        <m:r>
          <w:rPr>
            <w:rFonts w:ascii="Cambria Math" w:eastAsia="Batang" w:hAnsi="Cambria Math"/>
            <w:lang w:eastAsia="x-none"/>
          </w:rPr>
          <m:t>∈</m:t>
        </m:r>
        <m:d>
          <m:dPr>
            <m:begChr m:val="{"/>
            <m:endChr m:val="}"/>
            <m:ctrlPr>
              <w:rPr>
                <w:rFonts w:ascii="Cambria Math" w:eastAsia="Batang" w:hAnsi="Cambria Math"/>
                <w:i/>
                <w:iCs/>
                <w:lang w:eastAsia="x-none"/>
              </w:rPr>
            </m:ctrlPr>
          </m:dPr>
          <m:e>
            <m:rad>
              <m:radPr>
                <m:degHide m:val="1"/>
                <m:ctrlPr>
                  <w:rPr>
                    <w:rFonts w:ascii="Cambria Math" w:eastAsia="Batang" w:hAnsi="Cambria Math"/>
                    <w:i/>
                    <w:iCs/>
                    <w:lang w:eastAsia="x-none"/>
                  </w:rPr>
                </m:ctrlPr>
              </m:radPr>
              <m:deg/>
              <m:e>
                <m:r>
                  <w:rPr>
                    <w:rFonts w:ascii="Cambria Math" w:eastAsia="Batang" w:hAnsi="Cambria Math"/>
                    <w:lang w:eastAsia="x-none"/>
                  </w:rPr>
                  <m:t>1</m:t>
                </m:r>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2</m:t>
                    </m:r>
                  </m:den>
                </m:f>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3</m:t>
                    </m:r>
                  </m:den>
                </m:f>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4</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6</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8</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12</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16</m:t>
                    </m:r>
                  </m:den>
                </m:f>
              </m:e>
            </m:rad>
          </m:e>
        </m:d>
      </m:oMath>
      <w:r w:rsidRPr="00E404E9">
        <w:rPr>
          <w:rFonts w:ascii="Times" w:eastAsia="Batang" w:hAnsi="Times"/>
          <w:i/>
          <w:iCs/>
          <w:lang w:eastAsia="x-none"/>
        </w:rPr>
        <w:t xml:space="preserve"> (in RAN1#117)</w:t>
      </w:r>
    </w:p>
    <w:p w14:paraId="4768994F" w14:textId="77777777" w:rsidR="00E404E9" w:rsidRPr="00E404E9" w:rsidRDefault="00E404E9" w:rsidP="00E404E9">
      <w:pPr>
        <w:widowControl w:val="0"/>
        <w:snapToGrid w:val="0"/>
        <w:spacing w:after="0" w:line="240" w:lineRule="auto"/>
        <w:rPr>
          <w:rFonts w:ascii="Times" w:eastAsia="Batang" w:hAnsi="Times"/>
          <w:i/>
          <w:iCs/>
          <w:lang w:eastAsia="ko-KR"/>
        </w:rPr>
      </w:pPr>
      <w:r w:rsidRPr="00E404E9">
        <w:rPr>
          <w:rFonts w:ascii="Times" w:eastAsia="Batang" w:hAnsi="Times"/>
          <w:i/>
          <w:iCs/>
        </w:rPr>
        <w:t>This feature is a separate UE capability from soft scaling for RI=v=1</w:t>
      </w:r>
      <w:r w:rsidRPr="00E404E9">
        <w:rPr>
          <w:rFonts w:ascii="Times" w:eastAsia="Batang" w:hAnsi="Times" w:hint="eastAsia"/>
          <w:i/>
          <w:iCs/>
          <w:lang w:eastAsia="ko-KR"/>
        </w:rPr>
        <w:t>. Introduce new RRC parameter to enable the feature.</w:t>
      </w:r>
    </w:p>
    <w:p w14:paraId="12CE3A3A" w14:textId="77777777" w:rsidR="00E404E9" w:rsidRPr="00E404E9" w:rsidRDefault="00E404E9" w:rsidP="00E404E9">
      <w:pPr>
        <w:widowControl w:val="0"/>
        <w:snapToGrid w:val="0"/>
        <w:spacing w:after="0" w:line="240" w:lineRule="auto"/>
        <w:rPr>
          <w:rFonts w:ascii="Times" w:eastAsia="Batang" w:hAnsi="Times"/>
          <w:iCs/>
        </w:rPr>
      </w:pPr>
      <w:r w:rsidRPr="00E404E9">
        <w:rPr>
          <w:rFonts w:ascii="Times" w:eastAsia="Batang" w:hAnsi="Times"/>
          <w:i/>
          <w:iCs/>
        </w:rPr>
        <w:t>Note: This doesn’t preclude the use of power boosting at the NW side by implementation</w:t>
      </w:r>
    </w:p>
    <w:p w14:paraId="4D74BB5E" w14:textId="77777777" w:rsidR="00E404E9" w:rsidRDefault="00E404E9" w:rsidP="00DD5F6E">
      <w:pPr>
        <w:spacing w:after="180"/>
        <w:jc w:val="both"/>
      </w:pPr>
    </w:p>
    <w:p w14:paraId="193376FC" w14:textId="77777777" w:rsidR="00DD5F6E" w:rsidRPr="00DD5F6E" w:rsidRDefault="00DD5F6E" w:rsidP="00DD5F6E">
      <w:pPr>
        <w:snapToGrid w:val="0"/>
        <w:spacing w:after="0" w:line="240" w:lineRule="auto"/>
        <w:jc w:val="both"/>
        <w:rPr>
          <w:rFonts w:eastAsia="Malgun Gothic"/>
          <w:b/>
          <w:i/>
          <w:iCs/>
          <w:lang w:eastAsia="ko-KR"/>
        </w:rPr>
      </w:pPr>
      <w:r w:rsidRPr="00DD5F6E">
        <w:rPr>
          <w:rFonts w:eastAsia="Malgun Gothic"/>
          <w:b/>
          <w:i/>
          <w:iCs/>
          <w:highlight w:val="green"/>
          <w:lang w:eastAsia="ko-KR"/>
        </w:rPr>
        <w:t>Agreement</w:t>
      </w:r>
      <w:r w:rsidRPr="00DD5F6E">
        <w:rPr>
          <w:rFonts w:eastAsia="Batang"/>
          <w:i/>
          <w:iCs/>
          <w:kern w:val="24"/>
          <w:highlight w:val="yellow"/>
          <w:lang w:val="en-US" w:eastAsia="en-GB"/>
        </w:rPr>
        <w:t>(RAN1#118bis)</w:t>
      </w:r>
    </w:p>
    <w:p w14:paraId="66686355" w14:textId="521F4425" w:rsidR="00DD5F6E" w:rsidRPr="00DD5F6E" w:rsidRDefault="00DD5F6E" w:rsidP="00DD5F6E">
      <w:pPr>
        <w:snapToGrid w:val="0"/>
        <w:spacing w:after="0" w:line="240" w:lineRule="auto"/>
        <w:jc w:val="both"/>
        <w:rPr>
          <w:rFonts w:eastAsia="Batang"/>
          <w:i/>
          <w:iCs/>
        </w:rPr>
      </w:pPr>
      <w:r w:rsidRPr="00DD5F6E">
        <w:rPr>
          <w:rFonts w:eastAsia="Batang"/>
          <w:i/>
          <w:iCs/>
        </w:rPr>
        <w:t xml:space="preserve">For the Rel-19 Type-I SP codebook refinement for 48, 64, and 128 CSI-RS ports, regarding per-layer scaling factor applied to each of the selected SD basis vectors associated with RI=v </w:t>
      </w:r>
      <m:oMath>
        <m:r>
          <w:rPr>
            <w:rFonts w:ascii="Cambria Math" w:eastAsia="Batang" w:hAnsi="Cambria Math"/>
          </w:rPr>
          <m:t>∈</m:t>
        </m:r>
      </m:oMath>
      <w:r w:rsidRPr="00DD5F6E">
        <w:rPr>
          <w:rFonts w:eastAsia="Batang"/>
          <w:i/>
          <w:iCs/>
        </w:rPr>
        <w:t>{2} for the 3-bit scaling factor(s), decide, by RAN1#119, from the following alternatives:</w:t>
      </w:r>
    </w:p>
    <w:p w14:paraId="4DB7A026" w14:textId="45E8D6C9" w:rsidR="00DD5F6E" w:rsidRPr="00DD5F6E" w:rsidRDefault="00DD5F6E" w:rsidP="00DD5F6E">
      <w:pPr>
        <w:numPr>
          <w:ilvl w:val="0"/>
          <w:numId w:val="38"/>
        </w:numPr>
        <w:snapToGrid w:val="0"/>
        <w:spacing w:after="0" w:line="240" w:lineRule="auto"/>
        <w:jc w:val="both"/>
        <w:rPr>
          <w:rFonts w:eastAsia="DengXian"/>
          <w:bCs/>
          <w:i/>
          <w:iCs/>
          <w:lang w:val="de-DE" w:eastAsia="zh-CN"/>
        </w:rPr>
      </w:pPr>
      <w:r w:rsidRPr="00DD5F6E">
        <w:rPr>
          <w:rFonts w:eastAsia="DengXian"/>
          <w:i/>
          <w:iCs/>
          <w:lang w:val="de-DE" w:eastAsia="x-none"/>
        </w:rPr>
        <w:t xml:space="preserve">Alt1: </w:t>
      </w:r>
      <m:oMath>
        <m:r>
          <w:rPr>
            <w:rFonts w:ascii="Cambria Math" w:eastAsia="Batang" w:hAnsi="Cambria Math"/>
            <w:lang w:val="de-DE"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val="de-DE" w:eastAsia="x-none"/>
                  </w:rPr>
                  <m:t>1</m:t>
                </m:r>
              </m:num>
              <m:den>
                <m:r>
                  <w:rPr>
                    <w:rFonts w:ascii="Cambria Math" w:eastAsia="Batang" w:hAnsi="Cambria Math"/>
                    <w:lang w:eastAsia="x-none"/>
                  </w:rPr>
                  <m:t>υ</m:t>
                </m:r>
              </m:den>
            </m:f>
            <m:r>
              <w:rPr>
                <w:rFonts w:ascii="Cambria Math" w:eastAsia="Batang" w:hAnsi="Cambria Math"/>
                <w:lang w:val="de-DE" w:eastAsia="x-none"/>
              </w:rPr>
              <m:t>,</m:t>
            </m:r>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val="de-DE" w:eastAsia="x-none"/>
                      </w:rPr>
                      <m:t>s</m:t>
                    </m:r>
                  </m:e>
                  <m:sub>
                    <m:r>
                      <w:rPr>
                        <w:rFonts w:ascii="Cambria Math" w:eastAsia="Batang" w:hAnsi="Cambria Math"/>
                        <w:lang w:val="de-DE" w:eastAsia="x-none"/>
                      </w:rPr>
                      <m:t>i</m:t>
                    </m:r>
                  </m:sub>
                  <m:sup>
                    <m:r>
                      <w:rPr>
                        <w:rFonts w:ascii="Cambria Math" w:eastAsia="Batang" w:hAnsi="Cambria Math"/>
                        <w:lang w:val="de-DE" w:eastAsia="x-none"/>
                      </w:rPr>
                      <m:t>2</m:t>
                    </m:r>
                  </m:sup>
                </m:sSubSup>
              </m:num>
              <m:den>
                <m:sSub>
                  <m:sSubPr>
                    <m:ctrlPr>
                      <w:rPr>
                        <w:rFonts w:ascii="Cambria Math" w:eastAsia="Batang" w:hAnsi="Cambria Math"/>
                        <w:bCs/>
                        <w:i/>
                        <w:iCs/>
                        <w:lang w:eastAsia="x-none"/>
                      </w:rPr>
                    </m:ctrlPr>
                  </m:sSubPr>
                  <m:e>
                    <m:r>
                      <w:rPr>
                        <w:rFonts w:ascii="Cambria Math" w:eastAsia="Batang" w:hAnsi="Cambria Math"/>
                        <w:lang w:val="de-DE" w:eastAsia="x-none"/>
                      </w:rPr>
                      <m:t>r</m:t>
                    </m:r>
                  </m:e>
                  <m:sub>
                    <m:r>
                      <w:rPr>
                        <w:rFonts w:ascii="Cambria Math" w:eastAsia="Batang" w:hAnsi="Cambria Math"/>
                        <w:lang w:val="de-DE" w:eastAsia="x-none"/>
                      </w:rPr>
                      <m:t>i</m:t>
                    </m:r>
                  </m:sub>
                </m:sSub>
              </m:den>
            </m:f>
          </m:e>
        </m:d>
      </m:oMath>
      <w:r w:rsidRPr="00DD5F6E">
        <w:rPr>
          <w:rFonts w:eastAsia="DengXian"/>
          <w:bCs/>
          <w:i/>
          <w:iCs/>
          <w:lang w:val="de-DE" w:eastAsia="x-none"/>
        </w:rPr>
        <w:t xml:space="preserve"> </w:t>
      </w:r>
    </w:p>
    <w:p w14:paraId="1887BDB4" w14:textId="3E9952B8" w:rsidR="00DD5F6E" w:rsidRPr="00DD5F6E" w:rsidRDefault="00DD5F6E" w:rsidP="00DD5F6E">
      <w:pPr>
        <w:numPr>
          <w:ilvl w:val="0"/>
          <w:numId w:val="38"/>
        </w:numPr>
        <w:snapToGrid w:val="0"/>
        <w:spacing w:after="0" w:line="240" w:lineRule="auto"/>
        <w:jc w:val="both"/>
        <w:rPr>
          <w:rFonts w:eastAsia="DengXian"/>
          <w:bCs/>
          <w:i/>
          <w:iCs/>
          <w:lang w:val="de-DE" w:eastAsia="zh-CN"/>
        </w:rPr>
      </w:pPr>
      <w:r w:rsidRPr="00DD5F6E">
        <w:rPr>
          <w:rFonts w:eastAsia="Batang"/>
          <w:bCs/>
          <w:i/>
          <w:iCs/>
          <w:lang w:val="de-DE" w:eastAsia="x-none"/>
        </w:rPr>
        <w:t xml:space="preserve">Alt2: </w:t>
      </w:r>
      <m:oMath>
        <m:func>
          <m:funcPr>
            <m:ctrlPr>
              <w:rPr>
                <w:rFonts w:ascii="Cambria Math" w:eastAsia="Batang" w:hAnsi="Cambria Math"/>
                <w:bCs/>
                <w:i/>
                <w:iCs/>
                <w:lang w:eastAsia="x-none"/>
              </w:rPr>
            </m:ctrlPr>
          </m:funcPr>
          <m:fName>
            <m:r>
              <w:rPr>
                <w:rFonts w:ascii="Cambria Math" w:eastAsia="Batang" w:hAnsi="Cambria Math"/>
                <w:lang w:val="de-DE" w:eastAsia="x-none"/>
              </w:rPr>
              <m:t>min</m:t>
            </m:r>
          </m:fName>
          <m:e>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val="de-DE" w:eastAsia="x-none"/>
                      </w:rPr>
                      <m:t>1</m:t>
                    </m:r>
                  </m:num>
                  <m:den>
                    <m:r>
                      <w:rPr>
                        <w:rFonts w:ascii="Cambria Math" w:eastAsia="Batang" w:hAnsi="Cambria Math"/>
                        <w:lang w:eastAsia="x-none"/>
                      </w:rPr>
                      <m:t>υ</m:t>
                    </m:r>
                  </m:den>
                </m:f>
                <m:r>
                  <w:rPr>
                    <w:rFonts w:ascii="Cambria Math" w:eastAsia="Batang" w:hAnsi="Cambria Math"/>
                    <w:lang w:val="de-DE" w:eastAsia="x-none"/>
                  </w:rPr>
                  <m:t>,</m:t>
                </m:r>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val="de-DE" w:eastAsia="x-none"/>
                          </w:rPr>
                          <m:t>s</m:t>
                        </m:r>
                      </m:e>
                      <m:sub>
                        <m:r>
                          <w:rPr>
                            <w:rFonts w:ascii="Cambria Math" w:eastAsia="Batang" w:hAnsi="Cambria Math"/>
                            <w:lang w:val="de-DE" w:eastAsia="x-none"/>
                          </w:rPr>
                          <m:t>i</m:t>
                        </m:r>
                      </m:sub>
                      <m:sup>
                        <m:r>
                          <w:rPr>
                            <w:rFonts w:ascii="Cambria Math" w:eastAsia="Batang" w:hAnsi="Cambria Math"/>
                            <w:lang w:val="de-DE" w:eastAsia="x-none"/>
                          </w:rPr>
                          <m:t>2</m:t>
                        </m:r>
                      </m:sup>
                    </m:sSubSup>
                  </m:num>
                  <m:den>
                    <m:nary>
                      <m:naryPr>
                        <m:chr m:val="∑"/>
                        <m:supHide m:val="1"/>
                        <m:ctrlPr>
                          <w:rPr>
                            <w:rFonts w:ascii="Cambria Math" w:eastAsia="Batang" w:hAnsi="Cambria Math"/>
                            <w:bCs/>
                            <w:i/>
                            <w:iCs/>
                            <w:lang w:eastAsia="x-none"/>
                          </w:rPr>
                        </m:ctrlPr>
                      </m:naryPr>
                      <m:sub>
                        <m:r>
                          <w:rPr>
                            <w:rFonts w:ascii="Cambria Math" w:eastAsia="Batang" w:hAnsi="Cambria Math"/>
                            <w:lang w:val="de-DE" w:eastAsia="x-none"/>
                          </w:rPr>
                          <m:t>k∈</m:t>
                        </m:r>
                        <m:sSub>
                          <m:sSubPr>
                            <m:ctrlPr>
                              <w:rPr>
                                <w:rFonts w:ascii="Cambria Math" w:eastAsia="Batang" w:hAnsi="Cambria Math"/>
                                <w:bCs/>
                                <w:i/>
                                <w:iCs/>
                                <w:lang w:eastAsia="x-none"/>
                              </w:rPr>
                            </m:ctrlPr>
                          </m:sSubPr>
                          <m:e>
                            <m:r>
                              <w:rPr>
                                <w:rFonts w:ascii="Cambria Math" w:eastAsia="Batang" w:hAnsi="Cambria Math"/>
                                <w:lang w:val="de-DE" w:eastAsia="x-none"/>
                              </w:rPr>
                              <m:t>G</m:t>
                            </m:r>
                          </m:e>
                          <m:sub>
                            <m:r>
                              <w:rPr>
                                <w:rFonts w:ascii="Cambria Math" w:eastAsia="Batang" w:hAnsi="Cambria Math"/>
                                <w:lang w:val="de-DE" w:eastAsia="x-none"/>
                              </w:rPr>
                              <m:t>i</m:t>
                            </m:r>
                          </m:sub>
                        </m:sSub>
                      </m:sub>
                      <m:sup/>
                      <m:e>
                        <m:sSub>
                          <m:sSubPr>
                            <m:ctrlPr>
                              <w:rPr>
                                <w:rFonts w:ascii="Cambria Math" w:eastAsia="Batang" w:hAnsi="Cambria Math"/>
                                <w:bCs/>
                                <w:i/>
                                <w:iCs/>
                                <w:lang w:eastAsia="x-none"/>
                              </w:rPr>
                            </m:ctrlPr>
                          </m:sSubPr>
                          <m:e>
                            <m:r>
                              <w:rPr>
                                <w:rFonts w:ascii="Cambria Math" w:eastAsia="Batang" w:hAnsi="Cambria Math"/>
                                <w:lang w:val="de-DE" w:eastAsia="x-none"/>
                              </w:rPr>
                              <m:t>r</m:t>
                            </m:r>
                          </m:e>
                          <m:sub>
                            <m:r>
                              <w:rPr>
                                <w:rFonts w:ascii="Cambria Math" w:eastAsia="Batang" w:hAnsi="Cambria Math"/>
                                <w:lang w:val="de-DE" w:eastAsia="x-none"/>
                              </w:rPr>
                              <m:t>k</m:t>
                            </m:r>
                          </m:sub>
                        </m:sSub>
                      </m:e>
                    </m:nary>
                  </m:den>
                </m:f>
              </m:e>
            </m:d>
          </m:e>
        </m:func>
      </m:oMath>
      <w:r w:rsidRPr="00DD5F6E">
        <w:rPr>
          <w:rFonts w:eastAsia="Batang"/>
          <w:bCs/>
          <w:i/>
          <w:iCs/>
          <w:lang w:val="de-DE" w:eastAsia="x-none"/>
        </w:rPr>
        <w:t xml:space="preserve"> </w:t>
      </w:r>
    </w:p>
    <w:p w14:paraId="2A856B73" w14:textId="5387A08E" w:rsidR="00DD5F6E" w:rsidRPr="00DD5F6E" w:rsidRDefault="00DD5F6E" w:rsidP="00DD5F6E">
      <w:pPr>
        <w:numPr>
          <w:ilvl w:val="0"/>
          <w:numId w:val="38"/>
        </w:numPr>
        <w:snapToGrid w:val="0"/>
        <w:spacing w:after="0" w:line="240" w:lineRule="auto"/>
        <w:jc w:val="both"/>
        <w:rPr>
          <w:rFonts w:eastAsia="Batang"/>
          <w:bCs/>
          <w:i/>
          <w:iCs/>
          <w:lang w:eastAsia="zh-CN"/>
        </w:rPr>
      </w:pPr>
      <w:r w:rsidRPr="00DD5F6E">
        <w:rPr>
          <w:rFonts w:eastAsia="Batang"/>
          <w:bCs/>
          <w:i/>
          <w:iCs/>
          <w:lang w:eastAsia="x-none"/>
        </w:rPr>
        <w:t xml:space="preserve">Alt3: </w:t>
      </w:r>
      <m:oMath>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oMath>
    </w:p>
    <w:p w14:paraId="5B77D213" w14:textId="233F8C5E" w:rsidR="00DD5F6E" w:rsidRPr="00DD5F6E" w:rsidRDefault="00DD5F6E" w:rsidP="00DD5F6E">
      <w:pPr>
        <w:numPr>
          <w:ilvl w:val="0"/>
          <w:numId w:val="38"/>
        </w:numPr>
        <w:snapToGrid w:val="0"/>
        <w:spacing w:after="0" w:line="240" w:lineRule="auto"/>
        <w:jc w:val="both"/>
        <w:rPr>
          <w:rFonts w:eastAsia="Batang"/>
          <w:bCs/>
          <w:i/>
          <w:iCs/>
          <w:lang w:eastAsia="zh-CN"/>
        </w:rPr>
      </w:pPr>
      <w:r w:rsidRPr="00DD5F6E">
        <w:rPr>
          <w:rFonts w:eastAsia="DengXian"/>
          <w:i/>
          <w:iCs/>
          <w:lang w:eastAsia="x-none"/>
        </w:rPr>
        <w:t xml:space="preserve">Alt4: </w:t>
      </w:r>
      <m:oMath>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υs</m:t>
                </m:r>
              </m:e>
              <m:sub>
                <m:r>
                  <w:rPr>
                    <w:rFonts w:ascii="Cambria Math" w:eastAsia="Batang" w:hAnsi="Cambria Math"/>
                    <w:lang w:eastAsia="x-none"/>
                  </w:rPr>
                  <m:t>i</m:t>
                </m:r>
              </m:sub>
              <m:sup>
                <m:r>
                  <w:rPr>
                    <w:rFonts w:ascii="Cambria Math" w:eastAsia="Batang" w:hAnsi="Cambria Math"/>
                    <w:lang w:eastAsia="x-none"/>
                  </w:rPr>
                  <m:t>2</m:t>
                </m:r>
              </m:sup>
            </m:sSubSup>
          </m:num>
          <m:den>
            <m:sSub>
              <m:sSubPr>
                <m:ctrlPr>
                  <w:rPr>
                    <w:rFonts w:ascii="Cambria Math" w:eastAsia="Batang" w:hAnsi="Cambria Math"/>
                    <w:bCs/>
                    <w:i/>
                    <w:iCs/>
                    <w:lang w:eastAsia="x-none"/>
                  </w:rPr>
                </m:ctrlPr>
              </m:sSubPr>
              <m:e>
                <m:r>
                  <w:rPr>
                    <w:rFonts w:ascii="Cambria Math" w:eastAsia="Batang" w:hAnsi="Cambria Math"/>
                    <w:lang w:eastAsia="x-none"/>
                  </w:rPr>
                  <m:t>r</m:t>
                </m:r>
              </m:e>
              <m:sub>
                <m:r>
                  <w:rPr>
                    <w:rFonts w:ascii="Cambria Math" w:eastAsia="Batang" w:hAnsi="Cambria Math"/>
                    <w:lang w:eastAsia="x-none"/>
                  </w:rPr>
                  <m:t>i</m:t>
                </m:r>
              </m:sub>
            </m:sSub>
          </m:den>
        </m:f>
      </m:oMath>
      <w:r w:rsidRPr="00DD5F6E">
        <w:rPr>
          <w:rFonts w:eastAsia="DengXian"/>
          <w:bCs/>
          <w:i/>
          <w:iCs/>
          <w:lang w:eastAsia="x-none"/>
        </w:rPr>
        <w:t xml:space="preserve">  </w:t>
      </w:r>
    </w:p>
    <w:p w14:paraId="1EC2FEB1" w14:textId="10F8861E" w:rsidR="00DD5F6E" w:rsidRPr="00DD5F6E" w:rsidRDefault="00DD5F6E" w:rsidP="00DD5F6E">
      <w:pPr>
        <w:numPr>
          <w:ilvl w:val="0"/>
          <w:numId w:val="38"/>
        </w:numPr>
        <w:snapToGrid w:val="0"/>
        <w:spacing w:after="0" w:line="240" w:lineRule="auto"/>
        <w:jc w:val="both"/>
        <w:rPr>
          <w:rFonts w:eastAsia="Batang"/>
          <w:bCs/>
          <w:i/>
          <w:iCs/>
          <w:lang w:val="de-DE" w:eastAsia="zh-CN"/>
        </w:rPr>
      </w:pPr>
      <w:r w:rsidRPr="00DD5F6E">
        <w:rPr>
          <w:rFonts w:eastAsia="DengXian"/>
          <w:bCs/>
          <w:i/>
          <w:iCs/>
          <w:lang w:val="de-DE" w:eastAsia="zh-CN"/>
        </w:rPr>
        <w:t xml:space="preserve">Alt5: </w:t>
      </w:r>
      <m:oMath>
        <m:r>
          <w:rPr>
            <w:rFonts w:ascii="Cambria Math" w:eastAsia="Batang" w:hAnsi="Cambria Math"/>
            <w:lang w:val="de-DE"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sSub>
                  <m:sSubPr>
                    <m:ctrlPr>
                      <w:rPr>
                        <w:rFonts w:ascii="Cambria Math" w:eastAsia="Batang" w:hAnsi="Cambria Math"/>
                        <w:bCs/>
                        <w:i/>
                        <w:iCs/>
                        <w:lang w:eastAsia="x-none"/>
                      </w:rPr>
                    </m:ctrlPr>
                  </m:sSubPr>
                  <m:e>
                    <m:r>
                      <w:rPr>
                        <w:rFonts w:ascii="Cambria Math" w:eastAsia="Batang" w:hAnsi="Cambria Math"/>
                        <w:lang w:val="de-DE" w:eastAsia="x-none"/>
                      </w:rPr>
                      <m:t>r</m:t>
                    </m:r>
                  </m:e>
                  <m:sub>
                    <m:r>
                      <w:rPr>
                        <w:rFonts w:ascii="Cambria Math" w:eastAsia="Batang" w:hAnsi="Cambria Math"/>
                        <w:lang w:val="de-DE" w:eastAsia="x-none"/>
                      </w:rPr>
                      <m:t>i</m:t>
                    </m:r>
                  </m:sub>
                </m:sSub>
              </m:num>
              <m:den>
                <m:r>
                  <w:rPr>
                    <w:rFonts w:ascii="Cambria Math" w:eastAsia="Batang" w:hAnsi="Cambria Math"/>
                    <w:lang w:eastAsia="x-none"/>
                  </w:rPr>
                  <m:t>υ</m:t>
                </m:r>
              </m:den>
            </m:f>
            <m:r>
              <w:rPr>
                <w:rFonts w:ascii="Cambria Math" w:eastAsia="Batang" w:hAnsi="Cambria Math"/>
                <w:lang w:val="de-DE" w:eastAsia="x-none"/>
              </w:rPr>
              <m:t>,</m:t>
            </m:r>
            <m:sSubSup>
              <m:sSubSupPr>
                <m:ctrlPr>
                  <w:rPr>
                    <w:rFonts w:ascii="Cambria Math" w:eastAsia="Batang" w:hAnsi="Cambria Math"/>
                    <w:bCs/>
                    <w:i/>
                    <w:iCs/>
                    <w:lang w:eastAsia="x-none"/>
                  </w:rPr>
                </m:ctrlPr>
              </m:sSubSupPr>
              <m:e>
                <m:r>
                  <w:rPr>
                    <w:rFonts w:ascii="Cambria Math" w:eastAsia="Batang" w:hAnsi="Cambria Math"/>
                    <w:lang w:val="de-DE" w:eastAsia="x-none"/>
                  </w:rPr>
                  <m:t>s</m:t>
                </m:r>
              </m:e>
              <m:sub>
                <m:r>
                  <w:rPr>
                    <w:rFonts w:ascii="Cambria Math" w:eastAsia="Batang" w:hAnsi="Cambria Math"/>
                    <w:lang w:val="de-DE" w:eastAsia="x-none"/>
                  </w:rPr>
                  <m:t>i</m:t>
                </m:r>
              </m:sub>
              <m:sup>
                <m:r>
                  <w:rPr>
                    <w:rFonts w:ascii="Cambria Math" w:eastAsia="Batang" w:hAnsi="Cambria Math"/>
                    <w:lang w:val="de-DE" w:eastAsia="x-none"/>
                  </w:rPr>
                  <m:t>2</m:t>
                </m:r>
              </m:sup>
            </m:sSubSup>
          </m:e>
        </m:d>
      </m:oMath>
    </w:p>
    <w:p w14:paraId="39B19355" w14:textId="7673DB06" w:rsidR="00DD5F6E" w:rsidRPr="00DD5F6E" w:rsidRDefault="00DD5F6E" w:rsidP="00DD5F6E">
      <w:pPr>
        <w:numPr>
          <w:ilvl w:val="0"/>
          <w:numId w:val="38"/>
        </w:numPr>
        <w:snapToGrid w:val="0"/>
        <w:spacing w:after="0" w:line="240" w:lineRule="auto"/>
        <w:jc w:val="both"/>
        <w:rPr>
          <w:rFonts w:eastAsia="Batang"/>
          <w:bCs/>
          <w:i/>
          <w:iCs/>
          <w:lang w:eastAsia="zh-CN"/>
        </w:rPr>
      </w:pPr>
      <w:r w:rsidRPr="00DD5F6E">
        <w:rPr>
          <w:rFonts w:eastAsia="DengXian"/>
          <w:bCs/>
          <w:i/>
          <w:iCs/>
          <w:lang w:eastAsia="zh-CN"/>
        </w:rPr>
        <w:t xml:space="preserve">Alt6: </w:t>
      </w:r>
      <m:oMath>
        <m:f>
          <m:fPr>
            <m:ctrlPr>
              <w:rPr>
                <w:rFonts w:ascii="Cambria Math" w:eastAsia="Times New Roman"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num>
          <m:den>
            <m:r>
              <w:rPr>
                <w:rFonts w:ascii="Cambria Math" w:eastAsia="Batang" w:hAnsi="Cambria Math"/>
                <w:lang w:eastAsia="x-none"/>
              </w:rPr>
              <m:t>υ</m:t>
            </m:r>
          </m:den>
        </m:f>
      </m:oMath>
    </w:p>
    <w:p w14:paraId="6C6E0535" w14:textId="77777777" w:rsidR="00DD5F6E" w:rsidRPr="00DD5F6E" w:rsidRDefault="00DD5F6E" w:rsidP="00DD5F6E">
      <w:pPr>
        <w:numPr>
          <w:ilvl w:val="0"/>
          <w:numId w:val="38"/>
        </w:numPr>
        <w:snapToGrid w:val="0"/>
        <w:spacing w:after="0" w:line="240" w:lineRule="auto"/>
        <w:jc w:val="both"/>
        <w:rPr>
          <w:rFonts w:eastAsia="Batang"/>
          <w:bCs/>
          <w:i/>
          <w:iCs/>
          <w:lang w:eastAsia="zh-CN"/>
        </w:rPr>
      </w:pPr>
      <w:r w:rsidRPr="00DD5F6E">
        <w:rPr>
          <w:rFonts w:eastAsia="DengXian"/>
          <w:bCs/>
          <w:i/>
          <w:iCs/>
          <w:lang w:eastAsia="zh-CN"/>
        </w:rPr>
        <w:t xml:space="preserve">Alt7: </w:t>
      </w:r>
    </w:p>
    <w:p w14:paraId="53CAC095" w14:textId="28578AA9" w:rsidR="00DD5F6E" w:rsidRPr="00DD5F6E" w:rsidRDefault="00DD5F6E" w:rsidP="00DD5F6E">
      <w:pPr>
        <w:numPr>
          <w:ilvl w:val="1"/>
          <w:numId w:val="38"/>
        </w:numPr>
        <w:snapToGrid w:val="0"/>
        <w:spacing w:after="0" w:line="240" w:lineRule="auto"/>
        <w:jc w:val="both"/>
        <w:rPr>
          <w:rFonts w:eastAsia="Batang"/>
          <w:bCs/>
          <w:i/>
          <w:iCs/>
          <w:lang w:eastAsia="zh-CN"/>
        </w:rPr>
      </w:pPr>
      <w:r w:rsidRPr="00DD5F6E">
        <w:rPr>
          <w:rFonts w:eastAsia="DengXian"/>
          <w:bCs/>
          <w:i/>
          <w:iCs/>
          <w:lang w:eastAsia="zh-CN"/>
        </w:rPr>
        <w:t>if two different vectors for</w:t>
      </w:r>
      <w:r w:rsidRPr="00DD5F6E">
        <w:rPr>
          <w:rFonts w:eastAsia="Batang"/>
          <w:i/>
          <w:iCs/>
          <w:lang w:eastAsia="x-none"/>
        </w:rPr>
        <w:t xml:space="preserve"> </w:t>
      </w:r>
      <m:oMath>
        <m:r>
          <w:rPr>
            <w:rFonts w:ascii="Cambria Math" w:eastAsia="Batang" w:hAnsi="Cambria Math"/>
            <w:lang w:eastAsia="x-none"/>
          </w:rPr>
          <m:t>υ=2</m:t>
        </m:r>
      </m:oMath>
      <w:r w:rsidRPr="00DD5F6E">
        <w:rPr>
          <w:rFonts w:eastAsia="Batang"/>
          <w:i/>
          <w:iCs/>
          <w:lang w:eastAsia="x-none"/>
        </w:rPr>
        <w:t>,</w:t>
      </w:r>
      <w:r w:rsidRPr="00DD5F6E">
        <w:rPr>
          <w:rFonts w:eastAsia="DengXian"/>
          <w:bCs/>
          <w:i/>
          <w:iCs/>
          <w:lang w:eastAsia="zh-CN"/>
        </w:rPr>
        <w:t xml:space="preserve">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eastAsia="x-none"/>
                  </w:rPr>
                  <m:t>1</m:t>
                </m:r>
              </m:num>
              <m:den>
                <m:r>
                  <w:rPr>
                    <w:rFonts w:ascii="Cambria Math" w:eastAsia="Batang" w:hAnsi="Cambria Math"/>
                    <w:lang w:eastAsia="x-none"/>
                  </w:rPr>
                  <m:t>υ</m:t>
                </m:r>
              </m:den>
            </m:f>
            <m:r>
              <w:rPr>
                <w:rFonts w:ascii="Cambria Math" w:eastAsia="Batang"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e>
        </m:d>
      </m:oMath>
      <w:r w:rsidRPr="00DD5F6E">
        <w:rPr>
          <w:rFonts w:eastAsia="DengXian"/>
          <w:bCs/>
          <w:i/>
          <w:iCs/>
          <w:lang w:eastAsia="x-none"/>
        </w:rPr>
        <w:t xml:space="preserve"> for the vector with smaller scaling factor </w:t>
      </w:r>
      <m:oMath>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Malgun Gothic" w:hAnsi="Cambria Math"/>
                <w:lang w:eastAsia="zh-CN"/>
              </w:rPr>
              <m:t>i</m:t>
            </m:r>
          </m:sub>
        </m:sSub>
        <m:r>
          <w:rPr>
            <w:rFonts w:ascii="Cambria Math" w:eastAsia="Batang" w:hAnsi="Cambria Math"/>
            <w:lang w:eastAsia="x-none"/>
          </w:rPr>
          <m:t>≤</m:t>
        </m:r>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Batang" w:hAnsi="Cambria Math"/>
                <w:lang w:eastAsia="x-none"/>
              </w:rPr>
              <m:t>j</m:t>
            </m:r>
          </m:sub>
        </m:sSub>
      </m:oMath>
      <w:r w:rsidRPr="00DD5F6E">
        <w:rPr>
          <w:rFonts w:eastAsia="DengXian"/>
          <w:bCs/>
          <w:i/>
          <w:iCs/>
          <w:lang w:eastAsia="zh-CN"/>
        </w:rPr>
        <w:t>,</w:t>
      </w:r>
      <w:r w:rsidRPr="00DD5F6E">
        <w:rPr>
          <w:rFonts w:eastAsia="DengXian"/>
          <w:bCs/>
          <w:i/>
          <w:iCs/>
          <w:lang w:eastAsia="x-none"/>
        </w:rPr>
        <w:t xml:space="preserve"> </w:t>
      </w:r>
      <w:r w:rsidRPr="00DD5F6E">
        <w:rPr>
          <w:rFonts w:eastAsia="DengXian"/>
          <w:bCs/>
          <w:i/>
          <w:iCs/>
          <w:lang w:eastAsia="zh-CN"/>
        </w:rPr>
        <w:t xml:space="preserve">and </w:t>
      </w:r>
      <m:oMath>
        <m:r>
          <w:rPr>
            <w:rFonts w:ascii="Cambria Math" w:eastAsia="DengXian" w:hAnsi="Cambria Math"/>
            <w:lang w:eastAsia="x-none"/>
          </w:rPr>
          <m:t>min⁡(1-</m:t>
        </m:r>
        <m:r>
          <w:rPr>
            <w:rFonts w:ascii="Cambria Math" w:eastAsia="DengXian" w:hAnsi="Cambria Math"/>
            <w:lang w:eastAsia="zh-CN"/>
          </w:rPr>
          <m:t>min⁡(</m:t>
        </m:r>
        <m:f>
          <m:fPr>
            <m:ctrlPr>
              <w:rPr>
                <w:rFonts w:ascii="Cambria Math" w:eastAsia="DengXian" w:hAnsi="Cambria Math"/>
                <w:bCs/>
                <w:i/>
                <w:iCs/>
                <w:lang w:eastAsia="x-none"/>
              </w:rPr>
            </m:ctrlPr>
          </m:fPr>
          <m:num>
            <m:r>
              <w:rPr>
                <w:rFonts w:ascii="Cambria Math" w:eastAsia="DengXian" w:hAnsi="Cambria Math"/>
                <w:lang w:eastAsia="x-none"/>
              </w:rPr>
              <m:t>1</m:t>
            </m:r>
          </m:num>
          <m:den>
            <m:r>
              <w:rPr>
                <w:rFonts w:ascii="Cambria Math" w:eastAsia="Batang" w:hAnsi="Cambria Math"/>
                <w:lang w:eastAsia="x-none"/>
              </w:rPr>
              <m:t>υ</m:t>
            </m:r>
          </m:den>
        </m:f>
        <m:r>
          <w:rPr>
            <w:rFonts w:ascii="Cambria Math" w:eastAsia="DengXian"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r>
          <w:rPr>
            <w:rFonts w:ascii="Cambria Math" w:eastAsia="Batang" w:hAnsi="Cambria Math"/>
            <w:lang w:eastAsia="x-none"/>
          </w:rPr>
          <m:t>)</m:t>
        </m:r>
        <m:r>
          <w:rPr>
            <w:rFonts w:ascii="Cambria Math" w:eastAsia="DengXian"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j</m:t>
            </m:r>
          </m:sub>
          <m:sup>
            <m:r>
              <w:rPr>
                <w:rFonts w:ascii="Cambria Math" w:eastAsia="Batang" w:hAnsi="Cambria Math"/>
                <w:lang w:eastAsia="x-none"/>
              </w:rPr>
              <m:t>2</m:t>
            </m:r>
          </m:sup>
        </m:sSubSup>
        <m:r>
          <w:rPr>
            <w:rFonts w:ascii="Cambria Math" w:eastAsia="DengXian" w:hAnsi="Cambria Math"/>
            <w:lang w:eastAsia="x-none"/>
          </w:rPr>
          <m:t>)</m:t>
        </m:r>
      </m:oMath>
      <w:r w:rsidRPr="00DD5F6E">
        <w:rPr>
          <w:rFonts w:eastAsia="DengXian"/>
          <w:bCs/>
          <w:i/>
          <w:iCs/>
          <w:lang w:eastAsia="x-none"/>
        </w:rPr>
        <w:t xml:space="preserve"> for the other vector configured with larger scaling factor </w:t>
      </w:r>
      <m:oMath>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Batang" w:hAnsi="Cambria Math"/>
                <w:lang w:eastAsia="x-none"/>
              </w:rPr>
              <m:t>j</m:t>
            </m:r>
          </m:sub>
        </m:sSub>
      </m:oMath>
      <w:r w:rsidRPr="00DD5F6E">
        <w:rPr>
          <w:rFonts w:eastAsia="DengXian"/>
          <w:bCs/>
          <w:i/>
          <w:iCs/>
          <w:lang w:eastAsia="x-none"/>
        </w:rPr>
        <w:t xml:space="preserve">; </w:t>
      </w:r>
    </w:p>
    <w:p w14:paraId="244AF790" w14:textId="0F584159" w:rsidR="00DD5F6E" w:rsidRPr="00DD5F6E" w:rsidRDefault="00DD5F6E" w:rsidP="00DD5F6E">
      <w:pPr>
        <w:numPr>
          <w:ilvl w:val="1"/>
          <w:numId w:val="38"/>
        </w:numPr>
        <w:snapToGrid w:val="0"/>
        <w:spacing w:after="0" w:line="240" w:lineRule="auto"/>
        <w:jc w:val="both"/>
        <w:rPr>
          <w:rFonts w:eastAsia="Batang"/>
          <w:bCs/>
          <w:i/>
          <w:iCs/>
          <w:lang w:eastAsia="zh-CN"/>
        </w:rPr>
      </w:pPr>
      <w:r w:rsidRPr="00DD5F6E">
        <w:rPr>
          <w:rFonts w:eastAsia="DengXian"/>
          <w:bCs/>
          <w:i/>
          <w:iCs/>
          <w:lang w:eastAsia="x-none"/>
        </w:rPr>
        <w:t>otherwise (</w:t>
      </w:r>
      <m:oMath>
        <m:r>
          <w:rPr>
            <w:rFonts w:ascii="Cambria Math" w:eastAsia="Batang" w:hAnsi="Cambria Math"/>
            <w:lang w:eastAsia="x-none"/>
          </w:rPr>
          <m:t>υ=1</m:t>
        </m:r>
      </m:oMath>
      <w:r w:rsidRPr="00DD5F6E">
        <w:rPr>
          <w:rFonts w:eastAsia="DengXian"/>
          <w:i/>
          <w:iCs/>
          <w:lang w:eastAsia="x-none"/>
        </w:rPr>
        <w:t xml:space="preserve"> or one same vector for </w:t>
      </w:r>
      <m:oMath>
        <m:r>
          <w:rPr>
            <w:rFonts w:ascii="Cambria Math" w:eastAsia="Batang" w:hAnsi="Cambria Math"/>
            <w:lang w:eastAsia="x-none"/>
          </w:rPr>
          <m:t>υ=2</m:t>
        </m:r>
      </m:oMath>
      <w:r w:rsidRPr="00DD5F6E">
        <w:rPr>
          <w:rFonts w:eastAsia="DengXian"/>
          <w:bCs/>
          <w:i/>
          <w:iCs/>
          <w:lang w:eastAsia="x-none"/>
        </w:rPr>
        <w:t xml:space="preserve">),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r>
              <w:rPr>
                <w:rFonts w:ascii="Cambria Math" w:eastAsia="Batang" w:hAnsi="Cambria Math"/>
                <w:lang w:eastAsia="x-none"/>
              </w:rPr>
              <m:t>1,</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e>
        </m:d>
      </m:oMath>
      <w:r w:rsidRPr="00DD5F6E">
        <w:rPr>
          <w:rFonts w:eastAsia="DengXian"/>
          <w:bCs/>
          <w:i/>
          <w:iCs/>
          <w:lang w:eastAsia="x-none"/>
        </w:rPr>
        <w:t xml:space="preserve"> for the vector</w:t>
      </w:r>
    </w:p>
    <w:p w14:paraId="6B080436" w14:textId="77777777" w:rsidR="00DD5F6E" w:rsidRPr="00DD5F6E" w:rsidRDefault="00DD5F6E" w:rsidP="00DD5F6E">
      <w:pPr>
        <w:snapToGrid w:val="0"/>
        <w:spacing w:after="0" w:line="240" w:lineRule="auto"/>
        <w:jc w:val="both"/>
        <w:rPr>
          <w:rFonts w:eastAsia="DengXian"/>
          <w:bCs/>
          <w:i/>
          <w:iCs/>
          <w:lang w:eastAsia="zh-CN"/>
        </w:rPr>
      </w:pPr>
      <w:r w:rsidRPr="00DD5F6E">
        <w:rPr>
          <w:rFonts w:eastAsia="DengXian"/>
          <w:bCs/>
          <w:i/>
          <w:iCs/>
          <w:lang w:eastAsia="zh-CN"/>
        </w:rPr>
        <w:t xml:space="preserve">Where </w:t>
      </w:r>
      <w:proofErr w:type="spellStart"/>
      <w:r w:rsidRPr="00DD5F6E">
        <w:rPr>
          <w:rFonts w:eastAsia="DengXian"/>
          <w:bCs/>
          <w:i/>
          <w:iCs/>
          <w:lang w:eastAsia="zh-CN"/>
        </w:rPr>
        <w:t>r</w:t>
      </w:r>
      <w:r w:rsidRPr="00DD5F6E">
        <w:rPr>
          <w:rFonts w:eastAsia="DengXian"/>
          <w:bCs/>
          <w:i/>
          <w:iCs/>
          <w:vertAlign w:val="subscript"/>
          <w:lang w:eastAsia="zh-CN"/>
        </w:rPr>
        <w:t>i</w:t>
      </w:r>
      <w:proofErr w:type="spellEnd"/>
      <w:r w:rsidRPr="00DD5F6E">
        <w:rPr>
          <w:rFonts w:eastAsia="DengXian"/>
          <w:bCs/>
          <w:i/>
          <w:iCs/>
          <w:lang w:eastAsia="zh-CN"/>
        </w:rPr>
        <w:t xml:space="preserve"> denotes the number of layers associated with the </w:t>
      </w:r>
      <w:proofErr w:type="spellStart"/>
      <w:r w:rsidRPr="00DD5F6E">
        <w:rPr>
          <w:rFonts w:eastAsia="DengXian"/>
          <w:bCs/>
          <w:i/>
          <w:iCs/>
          <w:lang w:eastAsia="zh-CN"/>
        </w:rPr>
        <w:t>i-th</w:t>
      </w:r>
      <w:proofErr w:type="spellEnd"/>
      <w:r w:rsidRPr="00DD5F6E">
        <w:rPr>
          <w:rFonts w:eastAsia="DengXian"/>
          <w:bCs/>
          <w:i/>
          <w:iCs/>
          <w:lang w:eastAsia="zh-CN"/>
        </w:rPr>
        <w:t xml:space="preserve"> SD basis vector.</w:t>
      </w:r>
    </w:p>
    <w:p w14:paraId="2D966E99" w14:textId="77777777" w:rsidR="00DD5F6E" w:rsidRPr="00DD5F6E" w:rsidRDefault="00DD5F6E" w:rsidP="00DD5F6E">
      <w:pPr>
        <w:snapToGrid w:val="0"/>
        <w:spacing w:after="0" w:line="240" w:lineRule="auto"/>
        <w:jc w:val="both"/>
        <w:rPr>
          <w:rFonts w:eastAsia="DengXian"/>
          <w:bCs/>
          <w:i/>
          <w:iCs/>
          <w:lang w:eastAsia="zh-CN"/>
        </w:rPr>
      </w:pPr>
      <w:r w:rsidRPr="00DD5F6E">
        <w:rPr>
          <w:rFonts w:eastAsia="DengXian"/>
          <w:bCs/>
          <w:i/>
          <w:iCs/>
          <w:lang w:eastAsia="zh-CN"/>
        </w:rPr>
        <w:t>The same scheme applies to both Mode-A and Mode-B.</w:t>
      </w:r>
    </w:p>
    <w:p w14:paraId="7F1DBB78" w14:textId="11C46F64" w:rsidR="00DD5F6E" w:rsidRPr="00DD5F6E" w:rsidRDefault="00DD5F6E" w:rsidP="00DD5F6E">
      <w:pPr>
        <w:snapToGrid w:val="0"/>
        <w:spacing w:after="0" w:line="240" w:lineRule="auto"/>
        <w:jc w:val="both"/>
        <w:rPr>
          <w:rFonts w:eastAsia="Batang"/>
          <w:i/>
          <w:iCs/>
        </w:rPr>
      </w:pPr>
      <w:r w:rsidRPr="00DD5F6E">
        <w:rPr>
          <w:rFonts w:eastAsia="Batang"/>
          <w:i/>
          <w:iCs/>
        </w:rPr>
        <w:t xml:space="preserve">Note: </w:t>
      </w:r>
      <m:oMath>
        <m:sSub>
          <m:sSubPr>
            <m:ctrlPr>
              <w:rPr>
                <w:rFonts w:ascii="Cambria Math" w:eastAsia="Batang" w:hAnsi="Cambria Math"/>
                <w:i/>
                <w:iCs/>
              </w:rPr>
            </m:ctrlPr>
          </m:sSubPr>
          <m:e>
            <m:r>
              <w:rPr>
                <w:rFonts w:ascii="Cambria Math" w:eastAsia="Batang" w:hAnsi="Cambria Math"/>
              </w:rPr>
              <m:t>s</m:t>
            </m:r>
          </m:e>
          <m:sub>
            <m:r>
              <w:rPr>
                <w:rFonts w:ascii="Cambria Math" w:eastAsia="Batang" w:hAnsi="Cambria Math"/>
              </w:rPr>
              <m:t>i</m:t>
            </m:r>
          </m:sub>
        </m:sSub>
        <m:r>
          <w:rPr>
            <w:rFonts w:ascii="Cambria Math" w:eastAsia="Batang" w:hAnsi="Cambria Math"/>
          </w:rPr>
          <m:t>∈</m:t>
        </m:r>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2</m:t>
                    </m:r>
                  </m:den>
                </m:f>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3</m:t>
                    </m:r>
                  </m:den>
                </m:f>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4</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6</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8</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12</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16</m:t>
                    </m:r>
                  </m:den>
                </m:f>
              </m:e>
            </m:rad>
          </m:e>
        </m:d>
      </m:oMath>
      <w:r w:rsidRPr="00DD5F6E">
        <w:rPr>
          <w:rFonts w:eastAsia="Batang"/>
          <w:i/>
          <w:iCs/>
        </w:rPr>
        <w:t xml:space="preserve"> as agreed in RAN1#117.</w:t>
      </w:r>
    </w:p>
    <w:p w14:paraId="781DEB53" w14:textId="6EE1029A" w:rsidR="00DD5F6E" w:rsidRPr="00782DDF" w:rsidRDefault="00DD5F6E" w:rsidP="00782DDF">
      <w:pPr>
        <w:snapToGrid w:val="0"/>
        <w:spacing w:after="180" w:line="240" w:lineRule="auto"/>
        <w:jc w:val="both"/>
        <w:rPr>
          <w:rFonts w:eastAsia="Batang"/>
          <w:iCs/>
        </w:rPr>
      </w:pPr>
      <w:r w:rsidRPr="00DD5F6E">
        <w:rPr>
          <w:rFonts w:eastAsia="Batang"/>
          <w:i/>
          <w:iCs/>
        </w:rPr>
        <w:t>Normalization of precoder should be taken into account in the final specification design.</w:t>
      </w:r>
    </w:p>
    <w:p w14:paraId="62943812" w14:textId="77777777" w:rsidR="00C95DAF" w:rsidRDefault="00C95DAF" w:rsidP="00541E63">
      <w:pPr>
        <w:spacing w:after="180"/>
        <w:jc w:val="both"/>
      </w:pPr>
    </w:p>
    <w:p w14:paraId="09229C66" w14:textId="08453879" w:rsidR="00C33C17" w:rsidRDefault="00782DDF" w:rsidP="00541E63">
      <w:pPr>
        <w:spacing w:after="180"/>
        <w:jc w:val="both"/>
      </w:pPr>
      <w:r>
        <w:t>This scaling factor is defined as scaling on the PDSCH power control (Pc) offset configured for the associated CSI-RS resources. The PDSCH Pc offset is defined as the EPRE across all transmitted PDSCH layers. However, because a scaling factor is configured for a group of SD bases, the configured power restriction applies to the portion of transmit power across layers mapped to power-restricted beams.</w:t>
      </w:r>
    </w:p>
    <w:p w14:paraId="26B60F37" w14:textId="4EDEBE87" w:rsidR="00B5406E" w:rsidRDefault="001375A7" w:rsidP="00541E63">
      <w:pPr>
        <w:spacing w:after="180"/>
        <w:jc w:val="both"/>
      </w:pPr>
      <w:r>
        <w:t xml:space="preserve">In the agreement above, </w:t>
      </w:r>
      <w:r w:rsidR="00266DD5">
        <w:t>7 alternati</w:t>
      </w:r>
      <w:r w:rsidR="00BC7805">
        <w:t xml:space="preserve">ve </w:t>
      </w:r>
      <w:r w:rsidR="00823B30">
        <w:t>proposals</w:t>
      </w:r>
      <w:r w:rsidR="00EF27A5">
        <w:t xml:space="preserve"> </w:t>
      </w:r>
      <w:r w:rsidR="00F36D6C">
        <w:t xml:space="preserve">of how to apply </w:t>
      </w:r>
      <w:r w:rsidR="00621F75">
        <w:t>a configured</w:t>
      </w:r>
      <w:r w:rsidR="00BC7805">
        <w:t xml:space="preserve"> scaling factor</w:t>
      </w:r>
      <w:r w:rsidR="00621F75">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BC7805">
        <w:t xml:space="preserve"> </w:t>
      </w:r>
      <w:r>
        <w:t xml:space="preserve">were identified. They </w:t>
      </w:r>
      <w:r w:rsidR="00BC7805">
        <w:t xml:space="preserve">can be </w:t>
      </w:r>
      <w:r w:rsidR="005C2AC6">
        <w:t>group</w:t>
      </w:r>
      <w:r w:rsidR="00F36D6C">
        <w:t xml:space="preserve">ed into </w:t>
      </w:r>
      <w:r w:rsidR="0067345A">
        <w:t xml:space="preserve">three </w:t>
      </w:r>
      <w:r w:rsidR="00E75902">
        <w:t xml:space="preserve">different </w:t>
      </w:r>
      <w:r w:rsidR="00B4445D">
        <w:t xml:space="preserve">UE assumptions </w:t>
      </w:r>
      <w:r w:rsidR="001927FD">
        <w:t>of PDSCH</w:t>
      </w:r>
      <w:r w:rsidR="004D049A">
        <w:t xml:space="preserve"> power</w:t>
      </w:r>
      <w:r w:rsidR="00D12DF1">
        <w:t>, valid for both rank 1 and 2</w:t>
      </w:r>
      <w:r w:rsidR="00B5406E">
        <w:t>:</w:t>
      </w:r>
    </w:p>
    <w:p w14:paraId="260A66FC" w14:textId="1D8075B7" w:rsidR="009C5D93" w:rsidRDefault="009C5D93" w:rsidP="009C5D93">
      <w:pPr>
        <w:pStyle w:val="ListParagraph"/>
        <w:numPr>
          <w:ilvl w:val="0"/>
          <w:numId w:val="39"/>
        </w:numPr>
        <w:spacing w:after="180"/>
        <w:jc w:val="both"/>
      </w:pPr>
      <w:r w:rsidRPr="0092747D">
        <w:rPr>
          <w:u w:val="single"/>
        </w:rPr>
        <w:t>Alt</w:t>
      </w:r>
      <w:r w:rsidR="00945373" w:rsidRPr="0092747D">
        <w:rPr>
          <w:u w:val="single"/>
        </w:rPr>
        <w:t xml:space="preserve"> </w:t>
      </w:r>
      <w:r w:rsidRPr="0092747D">
        <w:rPr>
          <w:u w:val="single"/>
        </w:rPr>
        <w:t>A</w:t>
      </w:r>
      <w:r w:rsidR="007D7A6F" w:rsidRPr="0092747D">
        <w:rPr>
          <w:u w:val="single"/>
        </w:rPr>
        <w:t xml:space="preserve"> (power restriction per layer)</w:t>
      </w:r>
      <w:r w:rsidR="00945373">
        <w:t xml:space="preserve">. </w:t>
      </w:r>
      <w:r w:rsidR="00751883">
        <w:t>F</w:t>
      </w:r>
      <w:r w:rsidR="004D049A">
        <w:t xml:space="preserve">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4D049A">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4D049A">
        <w:t xml:space="preserve">, a UE can assume that the PDSCH signals </w:t>
      </w:r>
      <w:r w:rsidR="004D049A" w:rsidRPr="007F7D99">
        <w:rPr>
          <w:b/>
          <w:bCs/>
        </w:rPr>
        <w:t xml:space="preserve">for each layer mapped </w:t>
      </w:r>
      <w:r w:rsidR="001D6B9F" w:rsidRPr="007F7D99">
        <w:rPr>
          <w:b/>
          <w:bCs/>
        </w:rPr>
        <w:t>to a</w:t>
      </w:r>
      <w:r w:rsidR="004D049A" w:rsidRPr="007F7D99">
        <w:rPr>
          <w:b/>
          <w:bCs/>
        </w:rPr>
        <w:t xml:space="preserve">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4D049A">
        <w:t xml:space="preserve"> would have the same ratio of EPRE to CSI-RS EPRE for all </w:t>
      </w:r>
      <m:oMath>
        <m:r>
          <w:rPr>
            <w:rFonts w:ascii="Cambria Math" w:hAnsi="Cambria Math"/>
          </w:rPr>
          <m:t>K</m:t>
        </m:r>
      </m:oMath>
      <w:r w:rsidR="004D049A">
        <w:t xml:space="preserve"> CSI-RS resources, </w:t>
      </w:r>
      <w:r w:rsidR="008A60A1" w:rsidRPr="005E2C20">
        <w:rPr>
          <w:b/>
          <w:bCs/>
        </w:rPr>
        <w:t>not exceeding</w:t>
      </w:r>
      <w:r w:rsidR="004D049A" w:rsidRPr="005E2C20">
        <w:rPr>
          <w:b/>
          <w:bCs/>
        </w:rPr>
        <w:t xml:space="preserve">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r>
              <m:rPr>
                <m:sty m:val="bi"/>
              </m:rPr>
              <w:rPr>
                <w:rFonts w:ascii="Cambria Math" w:hAnsi="Cambria Math"/>
              </w:rPr>
              <m:t>υ</m:t>
            </m:r>
          </m:den>
        </m:f>
      </m:oMath>
      <w:r w:rsidR="004D049A" w:rsidRPr="005E2C20">
        <w:rPr>
          <w:b/>
          <w:bCs/>
        </w:rPr>
        <w:t xml:space="preserve"> times the </w:t>
      </w:r>
      <w:proofErr w:type="spellStart"/>
      <w:r w:rsidR="004D049A" w:rsidRPr="005E2C20">
        <w:rPr>
          <w:b/>
          <w:bCs/>
          <w:i/>
          <w:iCs/>
        </w:rPr>
        <w:t>powerControlOffset</w:t>
      </w:r>
      <w:proofErr w:type="spellEnd"/>
      <w:r w:rsidR="004D049A" w:rsidRPr="005E2C20">
        <w:rPr>
          <w:b/>
          <w:bCs/>
        </w:rPr>
        <w:t xml:space="preserve"> (in linear scale)</w:t>
      </w:r>
      <w:r w:rsidR="004D049A">
        <w:t xml:space="preserve"> of the respective CSI-RS resource.</w:t>
      </w:r>
      <w:r>
        <w:t xml:space="preserve"> </w:t>
      </w:r>
    </w:p>
    <w:p w14:paraId="45C5FE22" w14:textId="7194BA14" w:rsidR="00945373" w:rsidRDefault="00945373" w:rsidP="009C5D93">
      <w:pPr>
        <w:pStyle w:val="ListParagraph"/>
        <w:numPr>
          <w:ilvl w:val="0"/>
          <w:numId w:val="39"/>
        </w:numPr>
        <w:spacing w:after="180"/>
        <w:jc w:val="both"/>
      </w:pPr>
      <w:r w:rsidRPr="0092747D">
        <w:rPr>
          <w:u w:val="single"/>
        </w:rPr>
        <w:t>Alt B</w:t>
      </w:r>
      <w:r w:rsidR="007D7A6F" w:rsidRPr="0092747D">
        <w:rPr>
          <w:u w:val="single"/>
        </w:rPr>
        <w:t xml:space="preserve"> (power restriction per </w:t>
      </w:r>
      <w:r w:rsidR="00555CCF" w:rsidRPr="0092747D">
        <w:rPr>
          <w:u w:val="single"/>
        </w:rPr>
        <w:t>beam</w:t>
      </w:r>
      <w:r w:rsidR="007D7A6F" w:rsidRPr="0092747D">
        <w:rPr>
          <w:u w:val="single"/>
        </w:rPr>
        <w:t>)</w:t>
      </w:r>
      <w:r w:rsidR="00751883">
        <w:t xml:space="preserve">. For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751883">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751883">
        <w:t xml:space="preserve">, a UE can assume that the PDSCH signals </w:t>
      </w:r>
      <w:r w:rsidR="00751883" w:rsidRPr="007F7D99">
        <w:rPr>
          <w:b/>
          <w:bCs/>
        </w:rPr>
        <w:t xml:space="preserve">for each layer mapped to a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751883">
        <w:t xml:space="preserve"> would have the same ratio of EPRE to CSI-RS EPRE for all </w:t>
      </w:r>
      <m:oMath>
        <m:r>
          <w:rPr>
            <w:rFonts w:ascii="Cambria Math" w:hAnsi="Cambria Math"/>
          </w:rPr>
          <m:t>K</m:t>
        </m:r>
      </m:oMath>
      <w:r w:rsidR="00751883">
        <w:t xml:space="preserve"> CSI-RS resources, </w:t>
      </w:r>
      <w:r w:rsidR="002C249E" w:rsidRPr="005E2C20">
        <w:rPr>
          <w:b/>
          <w:bCs/>
        </w:rPr>
        <w:t>not exceeding</w:t>
      </w:r>
      <w:r w:rsidR="00751883" w:rsidRPr="005E2C20">
        <w:rPr>
          <w:b/>
          <w:bCs/>
        </w:rPr>
        <w:t xml:space="preserve">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i</m:t>
                </m:r>
              </m:sub>
            </m:sSub>
          </m:den>
        </m:f>
      </m:oMath>
      <w:r w:rsidR="00751883" w:rsidRPr="005E2C20">
        <w:rPr>
          <w:b/>
          <w:bCs/>
        </w:rPr>
        <w:t xml:space="preserve"> times the </w:t>
      </w:r>
      <w:proofErr w:type="spellStart"/>
      <w:r w:rsidR="00751883" w:rsidRPr="005E2C20">
        <w:rPr>
          <w:b/>
          <w:bCs/>
          <w:i/>
          <w:iCs/>
        </w:rPr>
        <w:t>powerControlOffset</w:t>
      </w:r>
      <w:proofErr w:type="spellEnd"/>
      <w:r w:rsidR="00751883" w:rsidRPr="005E2C20">
        <w:rPr>
          <w:b/>
          <w:bCs/>
        </w:rPr>
        <w:t xml:space="preserve"> (in linear scale)</w:t>
      </w:r>
      <w:r w:rsidR="00751883">
        <w:t xml:space="preserve"> of the respective CSI-RS resource.</w:t>
      </w:r>
    </w:p>
    <w:p w14:paraId="20A79097" w14:textId="0F4D8109" w:rsidR="00945373" w:rsidRDefault="00945373" w:rsidP="009C5D93">
      <w:pPr>
        <w:pStyle w:val="ListParagraph"/>
        <w:numPr>
          <w:ilvl w:val="0"/>
          <w:numId w:val="39"/>
        </w:numPr>
        <w:spacing w:after="180"/>
        <w:jc w:val="both"/>
      </w:pPr>
      <w:r w:rsidRPr="0092747D">
        <w:rPr>
          <w:u w:val="single"/>
        </w:rPr>
        <w:t>Alt C</w:t>
      </w:r>
      <w:r w:rsidR="008618F2" w:rsidRPr="0092747D">
        <w:rPr>
          <w:u w:val="single"/>
        </w:rPr>
        <w:t xml:space="preserve"> (power restriction per beam group)</w:t>
      </w:r>
      <w:r w:rsidR="002C249E">
        <w:t xml:space="preserve">. For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2C249E">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2C249E">
        <w:t xml:space="preserve">, a UE can assume that the PDSCH signals </w:t>
      </w:r>
      <w:r w:rsidR="002C249E" w:rsidRPr="007F7D99">
        <w:rPr>
          <w:b/>
          <w:bCs/>
        </w:rPr>
        <w:t xml:space="preserve">for each layer mapped to a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2C249E">
        <w:t xml:space="preserve"> would have the same ratio of EPRE to CSI-RS EPRE for all </w:t>
      </w:r>
      <m:oMath>
        <m:r>
          <w:rPr>
            <w:rFonts w:ascii="Cambria Math" w:hAnsi="Cambria Math"/>
          </w:rPr>
          <m:t>K</m:t>
        </m:r>
      </m:oMath>
      <w:r w:rsidR="002C249E">
        <w:t xml:space="preserve"> CSI-RS resources, </w:t>
      </w:r>
      <w:r w:rsidR="002C249E" w:rsidRPr="0030712A">
        <w:rPr>
          <w:b/>
          <w:bCs/>
        </w:rPr>
        <w:t xml:space="preserve">not exceeding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nary>
              <m:naryPr>
                <m:chr m:val="∑"/>
                <m:supHide m:val="1"/>
                <m:ctrlPr>
                  <w:rPr>
                    <w:rFonts w:ascii="Cambria Math" w:eastAsia="Batang" w:hAnsi="Cambria Math"/>
                    <w:b/>
                    <w:bCs/>
                    <w:i/>
                    <w:iCs/>
                    <w:lang w:eastAsia="x-none"/>
                  </w:rPr>
                </m:ctrlPr>
              </m:naryPr>
              <m:sub>
                <m:r>
                  <m:rPr>
                    <m:sty m:val="bi"/>
                  </m:rPr>
                  <w:rPr>
                    <w:rFonts w:ascii="Cambria Math" w:eastAsia="Batang" w:hAnsi="Cambria Math"/>
                    <w:lang w:val="de-DE" w:eastAsia="x-none"/>
                  </w:rPr>
                  <m:t>k∈</m:t>
                </m:r>
                <m:sSub>
                  <m:sSubPr>
                    <m:ctrlPr>
                      <w:rPr>
                        <w:rFonts w:ascii="Cambria Math" w:eastAsia="Batang" w:hAnsi="Cambria Math"/>
                        <w:b/>
                        <w:bCs/>
                        <w:i/>
                        <w:iCs/>
                        <w:lang w:eastAsia="x-none"/>
                      </w:rPr>
                    </m:ctrlPr>
                  </m:sSubPr>
                  <m:e>
                    <m:r>
                      <m:rPr>
                        <m:sty m:val="bi"/>
                      </m:rPr>
                      <w:rPr>
                        <w:rFonts w:ascii="Cambria Math" w:eastAsia="Batang" w:hAnsi="Cambria Math"/>
                        <w:lang w:val="de-DE" w:eastAsia="x-none"/>
                      </w:rPr>
                      <m:t>G</m:t>
                    </m:r>
                  </m:e>
                  <m:sub>
                    <m:r>
                      <m:rPr>
                        <m:sty m:val="bi"/>
                      </m:rPr>
                      <w:rPr>
                        <w:rFonts w:ascii="Cambria Math" w:eastAsia="Batang" w:hAnsi="Cambria Math"/>
                        <w:lang w:val="de-DE" w:eastAsia="x-none"/>
                      </w:rPr>
                      <m:t>i</m:t>
                    </m:r>
                  </m:sub>
                </m:sSub>
              </m:sub>
              <m:sup/>
              <m:e>
                <m:sSub>
                  <m:sSubPr>
                    <m:ctrlPr>
                      <w:rPr>
                        <w:rFonts w:ascii="Cambria Math" w:eastAsia="Batang" w:hAnsi="Cambria Math"/>
                        <w:b/>
                        <w:bCs/>
                        <w:i/>
                        <w:iCs/>
                        <w:lang w:eastAsia="x-none"/>
                      </w:rPr>
                    </m:ctrlPr>
                  </m:sSubPr>
                  <m:e>
                    <m:r>
                      <m:rPr>
                        <m:sty m:val="bi"/>
                      </m:rPr>
                      <w:rPr>
                        <w:rFonts w:ascii="Cambria Math" w:eastAsia="Batang" w:hAnsi="Cambria Math"/>
                        <w:lang w:val="de-DE" w:eastAsia="x-none"/>
                      </w:rPr>
                      <m:t>r</m:t>
                    </m:r>
                  </m:e>
                  <m:sub>
                    <m:r>
                      <m:rPr>
                        <m:sty m:val="bi"/>
                      </m:rPr>
                      <w:rPr>
                        <w:rFonts w:ascii="Cambria Math" w:eastAsia="Batang" w:hAnsi="Cambria Math"/>
                        <w:lang w:val="de-DE" w:eastAsia="x-none"/>
                      </w:rPr>
                      <m:t>k</m:t>
                    </m:r>
                  </m:sub>
                </m:sSub>
              </m:e>
            </m:nary>
          </m:den>
        </m:f>
      </m:oMath>
      <w:r w:rsidR="002C249E" w:rsidRPr="0030712A">
        <w:rPr>
          <w:b/>
          <w:bCs/>
        </w:rPr>
        <w:t xml:space="preserve"> times the </w:t>
      </w:r>
      <w:proofErr w:type="spellStart"/>
      <w:r w:rsidR="002C249E" w:rsidRPr="0030712A">
        <w:rPr>
          <w:b/>
          <w:bCs/>
          <w:i/>
          <w:iCs/>
        </w:rPr>
        <w:t>powerControlOffset</w:t>
      </w:r>
      <w:proofErr w:type="spellEnd"/>
      <w:r w:rsidR="002C249E" w:rsidRPr="0030712A">
        <w:rPr>
          <w:b/>
          <w:bCs/>
        </w:rPr>
        <w:t xml:space="preserve"> (in linear scale)</w:t>
      </w:r>
      <w:r w:rsidR="002C249E">
        <w:t xml:space="preserve"> of the respective CSI-RS resource.</w:t>
      </w:r>
    </w:p>
    <w:p w14:paraId="51AF0280" w14:textId="3688049F" w:rsidR="00657739" w:rsidRDefault="00031D4A" w:rsidP="009C5D93">
      <w:pPr>
        <w:spacing w:after="180"/>
        <w:jc w:val="both"/>
      </w:pPr>
      <w:r>
        <w:t>For rank 1, all three alternative interpretations yield the same</w:t>
      </w:r>
      <w:r w:rsidR="00182A81">
        <w:t xml:space="preserve"> </w:t>
      </w:r>
      <w:r w:rsidR="00520C2B">
        <w:t xml:space="preserve">transmit power </w:t>
      </w:r>
      <w:r w:rsidR="00E948CF">
        <w:t>restriction</w:t>
      </w:r>
      <w:r w:rsidR="00E33230">
        <w:t xml:space="preserve">. Let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00E33230">
        <w:t xml:space="preserve"> be the configured total PDSCH power,</w:t>
      </w:r>
    </w:p>
    <w:p w14:paraId="0CFD27B4" w14:textId="272AEE51" w:rsidR="00657739" w:rsidRDefault="00657739" w:rsidP="00657739">
      <w:pPr>
        <w:pStyle w:val="ListParagraph"/>
        <w:numPr>
          <w:ilvl w:val="0"/>
          <w:numId w:val="41"/>
        </w:numPr>
        <w:spacing w:after="180"/>
        <w:jc w:val="both"/>
      </w:pPr>
      <w:r>
        <w:t>Al</w:t>
      </w:r>
      <w:r w:rsidR="00351B59">
        <w:t>t A,B,C</w:t>
      </w:r>
      <w:r w:rsidR="00123828">
        <w:t>. Rank-1</w:t>
      </w:r>
      <w:r w:rsidR="00B42868">
        <w:t>,</w:t>
      </w:r>
      <w:r w:rsidR="00123828">
        <w:t xml:space="preserve">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7B2323">
        <w:t xml:space="preserve"> is</w:t>
      </w:r>
      <w:r w:rsidR="00B42868">
        <w:t>:</w:t>
      </w:r>
      <w:r w:rsidR="00123828">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i/>
              </w:rPr>
            </m:ctrlPr>
          </m:sSubPr>
          <m:e>
            <m:r>
              <w:rPr>
                <w:rFonts w:ascii="Cambria Math" w:hAnsi="Cambria Math"/>
              </w:rPr>
              <m:t>P</m:t>
            </m:r>
          </m:e>
          <m:sub>
            <m:r>
              <w:rPr>
                <w:rFonts w:ascii="Cambria Math" w:hAnsi="Cambria Math"/>
              </w:rPr>
              <m:t>tx</m:t>
            </m:r>
          </m:sub>
        </m:sSub>
      </m:oMath>
      <w:r w:rsidR="007736AC">
        <w:t>.</w:t>
      </w:r>
    </w:p>
    <w:p w14:paraId="4A541E61" w14:textId="2110B291" w:rsidR="00782DDF" w:rsidRDefault="0001684A" w:rsidP="009C5D93">
      <w:pPr>
        <w:spacing w:after="180"/>
        <w:jc w:val="both"/>
      </w:pPr>
      <w:r>
        <w:t xml:space="preserve">However, for rank 2, </w:t>
      </w:r>
      <w:r w:rsidR="00555EF2">
        <w:t xml:space="preserve">the assumptions differ depending on </w:t>
      </w:r>
      <w:r w:rsidR="00644D4C">
        <w:t xml:space="preserve">whether a single beam 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644D4C">
        <w:t xml:space="preserve"> is</w:t>
      </w:r>
      <w:r w:rsidR="00DE6CBD">
        <w:t xml:space="preserve"> selected</w:t>
      </w:r>
      <w:r w:rsidR="006C189E">
        <w:t>, with</w:t>
      </w:r>
      <w:r w:rsidR="00C73FB2">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00C73FB2">
        <w:t xml:space="preserve"> or 2, or</w:t>
      </w:r>
      <w:r w:rsidR="00DE39FB">
        <w:t xml:space="preserve"> whether two beams 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DE39FB">
        <w:t xml:space="preserve"> are selected</w:t>
      </w:r>
      <w:r w:rsidR="002149FB">
        <w:t>.</w:t>
      </w:r>
    </w:p>
    <w:p w14:paraId="265E84D2" w14:textId="1B124698" w:rsidR="00243796" w:rsidRDefault="00243796" w:rsidP="0018574C">
      <w:pPr>
        <w:pStyle w:val="ListParagraph"/>
        <w:numPr>
          <w:ilvl w:val="0"/>
          <w:numId w:val="40"/>
        </w:numPr>
        <w:spacing w:after="180"/>
      </w:pPr>
      <w:r>
        <w:t xml:space="preserve">Alt A. </w:t>
      </w:r>
      <w:r w:rsidR="001C698A">
        <w:t>Rank-2</w:t>
      </w:r>
      <w:r w:rsidR="00B42868">
        <w:t>,</w:t>
      </w:r>
      <w:r w:rsidR="001C698A">
        <w:t xml:space="preserve"> </w:t>
      </w:r>
      <w:r w:rsidR="00114E6A">
        <w:t>PDSCH power in the direction</w:t>
      </w:r>
      <w:r w:rsidR="00464607">
        <w:t xml:space="preserve">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95705E">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r w:rsidR="00681D33">
        <w:t xml:space="preserve"> </w:t>
      </w:r>
    </w:p>
    <w:p w14:paraId="1F627E05" w14:textId="1F2820B5" w:rsidR="00F56CC6" w:rsidRDefault="00F56CC6" w:rsidP="0018574C">
      <w:pPr>
        <w:pStyle w:val="ListParagraph"/>
        <w:numPr>
          <w:ilvl w:val="0"/>
          <w:numId w:val="40"/>
        </w:numPr>
        <w:spacing w:after="180"/>
      </w:pPr>
      <w:r>
        <w:t xml:space="preserve">Alt </w:t>
      </w:r>
      <w:r w:rsidR="00205043">
        <w:t>B</w:t>
      </w:r>
      <w:r>
        <w:t xml:space="preserve">. Rank-2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r>
                        <w:rPr>
                          <w:rFonts w:ascii="Cambria Math" w:hAnsi="Cambria Math"/>
                        </w:rPr>
                        <m:t>2</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r>
        <w:t xml:space="preserve"> </w:t>
      </w:r>
    </w:p>
    <w:p w14:paraId="167381BB" w14:textId="6DF3BE78" w:rsidR="00F56CC6" w:rsidRDefault="00BF60E4" w:rsidP="0018574C">
      <w:pPr>
        <w:pStyle w:val="ListParagraph"/>
        <w:numPr>
          <w:ilvl w:val="0"/>
          <w:numId w:val="40"/>
        </w:numPr>
        <w:spacing w:after="180"/>
      </w:pPr>
      <w:r>
        <w:t xml:space="preserve">Alt C. Rank-2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p>
    <w:p w14:paraId="380B8FC9" w14:textId="71F15D63" w:rsidR="00B55DEB" w:rsidRDefault="00035D24" w:rsidP="009C5D93">
      <w:pPr>
        <w:spacing w:after="180"/>
        <w:jc w:val="both"/>
      </w:pPr>
      <w:r>
        <w:t xml:space="preserve">For Alt A, </w:t>
      </w:r>
      <w:r w:rsidR="00061E69">
        <w:t xml:space="preserve">if a single-layer beam is selected in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061E69">
        <w:t xml:space="preserve">, </w:t>
      </w:r>
      <w:r w:rsidR="00000317">
        <w:t>the</w:t>
      </w:r>
      <w:r w:rsidR="009A097D">
        <w:t xml:space="preserve"> </w:t>
      </w:r>
      <w:r w:rsidR="00000317">
        <w:t>transmit power</w:t>
      </w:r>
      <w:r w:rsidR="009A097D">
        <w:t xml:space="preserve"> assumption</w:t>
      </w:r>
      <w:r w:rsidR="00590AA1">
        <w:t xml:space="preserve"> by the UE</w:t>
      </w:r>
      <w:r w:rsidR="00787B53">
        <w:t xml:space="preserve"> for th</w:t>
      </w:r>
      <w:r w:rsidR="00561577">
        <w:t xml:space="preserve">is </w:t>
      </w:r>
      <w:r w:rsidR="00831C5B">
        <w:t>beam</w:t>
      </w:r>
      <w:r w:rsidR="00561577">
        <w:t xml:space="preserve"> is restricted to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i/>
              </w:rPr>
            </m:ctrlPr>
          </m:sSubPr>
          <m:e>
            <m:r>
              <w:rPr>
                <w:rFonts w:ascii="Cambria Math" w:hAnsi="Cambria Math"/>
              </w:rPr>
              <m:t>P</m:t>
            </m:r>
          </m:e>
          <m:sub>
            <m:r>
              <w:rPr>
                <w:rFonts w:ascii="Cambria Math" w:hAnsi="Cambria Math"/>
              </w:rPr>
              <m:t>tx</m:t>
            </m:r>
          </m:sub>
        </m:sSub>
      </m:oMath>
      <w:r w:rsidR="00243AE4">
        <w:t xml:space="preserve"> for a rank-1 transmission</w:t>
      </w:r>
      <w:r w:rsidR="007C6BAB">
        <w:t xml:space="preserve">, </w:t>
      </w:r>
      <w:r w:rsidR="006E4B53">
        <w:t>but it is restricted to</w:t>
      </w:r>
      <w:r w:rsidR="009A097D">
        <w:t xml:space="preserve"> </w:t>
      </w:r>
      <m:oMath>
        <m:sSub>
          <m:sSubPr>
            <m:ctrlPr>
              <w:rPr>
                <w:rFonts w:ascii="Cambria Math" w:hAnsi="Cambria Math"/>
                <w:i/>
              </w:rPr>
            </m:ctrlPr>
          </m:sSubPr>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P</m:t>
            </m:r>
          </m:e>
          <m:sub>
            <m:r>
              <w:rPr>
                <w:rFonts w:ascii="Cambria Math" w:hAnsi="Cambria Math"/>
              </w:rPr>
              <m:t>tx</m:t>
            </m:r>
          </m:sub>
        </m:sSub>
      </m:oMath>
      <w:r w:rsidR="009A097D">
        <w:t xml:space="preserve">, i.e. </w:t>
      </w:r>
      <w:r w:rsidR="00F25924">
        <w:t xml:space="preserve">a </w:t>
      </w:r>
      <w:r w:rsidR="009A097D">
        <w:t>3dB lower</w:t>
      </w:r>
      <w:r w:rsidR="00BA5D6C">
        <w:t xml:space="preserve"> restriction</w:t>
      </w:r>
      <w:r w:rsidR="009A097D">
        <w:t>, for a rank-2 transmission</w:t>
      </w:r>
      <w:r w:rsidR="000F2B30">
        <w:t xml:space="preserve">. </w:t>
      </w:r>
      <w:r w:rsidR="00E84749">
        <w:t xml:space="preserve">Another inconsistency is </w:t>
      </w:r>
      <w:r w:rsidR="00B14423">
        <w:t xml:space="preserve">the different transmit power assumption for a beam </w:t>
      </w:r>
      <w:r w:rsidR="00FC0A47">
        <w:t xml:space="preserve">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00FC0A47">
        <w:t xml:space="preserve"> and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r w:rsidR="00BA5D6C">
        <w:t xml:space="preserve">, with </w:t>
      </w:r>
      <w:r w:rsidR="001744E3">
        <w:t xml:space="preserve">a </w:t>
      </w:r>
      <w:r w:rsidR="00946E09">
        <w:t>1-</w:t>
      </w:r>
      <w:r w:rsidR="001744E3">
        <w:t xml:space="preserve">layer beam </w:t>
      </w:r>
      <w:r w:rsidR="006154A2">
        <w:t>having</w:t>
      </w:r>
      <w:r w:rsidR="009E32D2">
        <w:t xml:space="preserve"> 3dB lower restriction than a</w:t>
      </w:r>
      <w:r w:rsidR="00946E09">
        <w:t xml:space="preserve"> 2-layer beam. </w:t>
      </w:r>
      <w:r w:rsidR="000F2B30">
        <w:t xml:space="preserve">Configuring two different values of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000E7A5A">
        <w:t>, one for rank-1 and another</w:t>
      </w:r>
      <w:r w:rsidR="00937E28">
        <w:t>, say 3dB higher,</w:t>
      </w:r>
      <w:r w:rsidR="000E7A5A">
        <w:t xml:space="preserve"> for rank-2</w:t>
      </w:r>
      <w:r w:rsidR="00937E28">
        <w:t xml:space="preserve">, would </w:t>
      </w:r>
      <w:r w:rsidR="00B55DEB">
        <w:t>not resolve this second inconsistency.</w:t>
      </w:r>
    </w:p>
    <w:p w14:paraId="4D70D05A" w14:textId="22F18CA8" w:rsidR="00BE1E3A" w:rsidRPr="00236799" w:rsidRDefault="006D5216" w:rsidP="00801B0C">
      <w:pPr>
        <w:pStyle w:val="ListParagraph"/>
        <w:numPr>
          <w:ilvl w:val="0"/>
          <w:numId w:val="43"/>
        </w:numPr>
        <w:spacing w:after="180"/>
        <w:ind w:left="1559" w:hanging="357"/>
        <w:contextualSpacing w:val="0"/>
        <w:jc w:val="both"/>
        <w:rPr>
          <w:b/>
          <w:bCs/>
        </w:rPr>
      </w:pPr>
      <w:bookmarkStart w:id="3" w:name="_Ref181986201"/>
      <w:r w:rsidRPr="00236799">
        <w:rPr>
          <w:b/>
          <w:bCs/>
        </w:rPr>
        <w:t>With Alt</w:t>
      </w:r>
      <w:r w:rsidR="007407A7" w:rsidRPr="00236799">
        <w:rPr>
          <w:b/>
          <w:bCs/>
        </w:rPr>
        <w:t xml:space="preserve"> A</w:t>
      </w:r>
      <w:r w:rsidR="00272EBD" w:rsidRPr="00236799">
        <w:rPr>
          <w:b/>
          <w:bCs/>
        </w:rPr>
        <w:t xml:space="preserve">, </w:t>
      </w:r>
      <w:r w:rsidR="0055597A" w:rsidRPr="00236799">
        <w:rPr>
          <w:b/>
          <w:bCs/>
        </w:rPr>
        <w:t>for a</w:t>
      </w:r>
      <w:r w:rsidR="00272EBD" w:rsidRPr="00236799">
        <w:rPr>
          <w:b/>
          <w:bCs/>
        </w:rPr>
        <w:t xml:space="preserve"> single-layer beam selected in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272EBD" w:rsidRPr="00236799">
        <w:rPr>
          <w:b/>
          <w:bCs/>
        </w:rPr>
        <w:t xml:space="preserve">, the transmit power </w:t>
      </w:r>
      <w:r w:rsidR="00905CCA" w:rsidRPr="00236799">
        <w:rPr>
          <w:b/>
          <w:bCs/>
        </w:rPr>
        <w:t>restriction</w:t>
      </w:r>
      <w:r w:rsidR="00272EBD" w:rsidRPr="00236799">
        <w:rPr>
          <w:b/>
          <w:bCs/>
        </w:rPr>
        <w:t xml:space="preserve"> for this beam is 3dB lower for a rank-2 transmission</w:t>
      </w:r>
      <w:r w:rsidR="00685E65" w:rsidRPr="00236799">
        <w:rPr>
          <w:b/>
          <w:bCs/>
        </w:rPr>
        <w:t xml:space="preserve"> than it is for </w:t>
      </w:r>
      <w:r w:rsidR="00FE6D26" w:rsidRPr="00236799">
        <w:rPr>
          <w:b/>
          <w:bCs/>
        </w:rPr>
        <w:t>the same beam in a</w:t>
      </w:r>
      <w:r w:rsidR="00685E65" w:rsidRPr="00236799">
        <w:rPr>
          <w:b/>
          <w:bCs/>
        </w:rPr>
        <w:t xml:space="preserve"> rank-1 transmission</w:t>
      </w:r>
      <w:r w:rsidR="00357C9F" w:rsidRPr="00236799">
        <w:rPr>
          <w:b/>
          <w:bCs/>
        </w:rPr>
        <w:t>.</w:t>
      </w:r>
      <w:r w:rsidR="009849ED" w:rsidRPr="00236799">
        <w:rPr>
          <w:b/>
          <w:bCs/>
        </w:rPr>
        <w:t xml:space="preserve"> It is also 3dB lower than</w:t>
      </w:r>
      <w:r w:rsidR="00737D65" w:rsidRPr="00236799">
        <w:rPr>
          <w:b/>
          <w:bCs/>
        </w:rPr>
        <w:t xml:space="preserve"> the power restriction</w:t>
      </w:r>
      <w:r w:rsidR="0093618F" w:rsidRPr="00236799">
        <w:rPr>
          <w:b/>
          <w:bCs/>
        </w:rPr>
        <w:t xml:space="preserve"> for the same beam</w:t>
      </w:r>
      <w:r w:rsidR="00236799" w:rsidRPr="00236799">
        <w:rPr>
          <w:b/>
          <w:bCs/>
        </w:rPr>
        <w:t xml:space="preserve"> supporting two layers.</w:t>
      </w:r>
      <w:bookmarkEnd w:id="3"/>
      <w:r w:rsidR="00215363" w:rsidRPr="00236799">
        <w:rPr>
          <w:b/>
          <w:bCs/>
        </w:rPr>
        <w:t xml:space="preserve"> </w:t>
      </w:r>
    </w:p>
    <w:p w14:paraId="409A33F7" w14:textId="4EC97807" w:rsidR="001E38FE" w:rsidRDefault="001E38FE" w:rsidP="00D631E2">
      <w:pPr>
        <w:spacing w:after="180"/>
        <w:jc w:val="both"/>
      </w:pPr>
      <w:r>
        <w:t xml:space="preserve">For Alt B, </w:t>
      </w:r>
      <w:r w:rsidR="009C2C45">
        <w:t xml:space="preserve">the </w:t>
      </w:r>
      <w:r w:rsidR="00421D15">
        <w:t xml:space="preserve">power restriction </w:t>
      </w:r>
      <w:r w:rsidR="00303F94">
        <w:t xml:space="preserve">configured </w:t>
      </w:r>
      <w:r w:rsidR="00AE6F73">
        <w:t>for a beam</w:t>
      </w:r>
      <w:r w:rsidR="00CA279B">
        <w:t xml:space="preserve"> is</w:t>
      </w:r>
      <w:r w:rsidR="00B70564">
        <w:t xml:space="preserve"> independent of </w:t>
      </w:r>
      <w:r w:rsidR="003E5161">
        <w:t>the transmission rank and the number of layers supported by</w:t>
      </w:r>
      <w:r w:rsidR="007B1E6B">
        <w:t xml:space="preserve"> this beam</w:t>
      </w:r>
      <w:r w:rsidR="001E0440">
        <w:t xml:space="preserve">, which allows the network to configure the scaling values </w:t>
      </w:r>
      <w:r w:rsidR="004937C4">
        <w:t xml:space="preserve">to ensure </w:t>
      </w:r>
      <w:r w:rsidR="00F3316E">
        <w:t xml:space="preserve">a desired </w:t>
      </w:r>
      <w:r w:rsidR="00135ED6">
        <w:t>maximum transmit power on</w:t>
      </w:r>
      <w:r w:rsidR="00550CC7">
        <w:t xml:space="preserve"> certain beams</w:t>
      </w:r>
      <w:r w:rsidR="002535C9">
        <w:t xml:space="preserve"> regardless of rank and </w:t>
      </w:r>
      <w:r w:rsidR="00927F8D">
        <w:t>beam multiplicity</w:t>
      </w:r>
      <w:r w:rsidR="00655974">
        <w:t>.</w:t>
      </w:r>
    </w:p>
    <w:p w14:paraId="28974045" w14:textId="0FA9322D" w:rsidR="00927F8D" w:rsidRDefault="00655974" w:rsidP="00927F8D">
      <w:pPr>
        <w:pStyle w:val="ListParagraph"/>
        <w:numPr>
          <w:ilvl w:val="0"/>
          <w:numId w:val="43"/>
        </w:numPr>
        <w:spacing w:after="180"/>
        <w:ind w:left="1559" w:hanging="357"/>
        <w:contextualSpacing w:val="0"/>
        <w:jc w:val="both"/>
        <w:rPr>
          <w:b/>
          <w:bCs/>
        </w:rPr>
      </w:pPr>
      <w:bookmarkStart w:id="4" w:name="_Ref181986217"/>
      <w:r w:rsidRPr="00EF4045">
        <w:rPr>
          <w:b/>
          <w:bCs/>
        </w:rPr>
        <w:t>With Alt B, the power restriction configured for a beam is independent of the transmission rank and the number of layers supported by this beam, which allows the network to configure the scaling values to ensure a desired maximum transmit power on certain beams regardless of rank and beam multiplicity.</w:t>
      </w:r>
      <w:bookmarkEnd w:id="4"/>
    </w:p>
    <w:p w14:paraId="52257032" w14:textId="3CD4112A" w:rsidR="00DD1673" w:rsidRDefault="004825C1" w:rsidP="00966344">
      <w:pPr>
        <w:spacing w:after="180"/>
        <w:jc w:val="both"/>
      </w:pPr>
      <w:r>
        <w:t xml:space="preserve">For Alt C, </w:t>
      </w:r>
      <w:r w:rsidR="00F036EE">
        <w:t>the power</w:t>
      </w:r>
      <w:r w:rsidR="006F5E52">
        <w:t xml:space="preserve"> restriction is similar to Alt B, with the difference that</w:t>
      </w:r>
      <w:r w:rsidR="00840C51">
        <w:t xml:space="preserve"> the power restriction is applied across all selected beams of a beam group. This </w:t>
      </w:r>
      <w:r w:rsidR="00F746E4">
        <w:t xml:space="preserve">allows the network to </w:t>
      </w:r>
      <w:r w:rsidR="00485013">
        <w:t xml:space="preserve">configure the scaling values such that </w:t>
      </w:r>
      <w:r w:rsidR="00C27430">
        <w:t>a desired maximum transmit power on</w:t>
      </w:r>
      <w:r w:rsidR="000D324F">
        <w:t xml:space="preserve"> a beam direction</w:t>
      </w:r>
      <w:r w:rsidR="0037393E">
        <w:t xml:space="preserve">, </w:t>
      </w:r>
      <w:r w:rsidR="000D4550">
        <w:t>for example, elevation angle range</w:t>
      </w:r>
      <w:r w:rsidR="00AD048F">
        <w:t xml:space="preserve">, </w:t>
      </w:r>
      <w:r w:rsidR="00E348ED">
        <w:t xml:space="preserve">is satisfied regardless of </w:t>
      </w:r>
      <w:r w:rsidR="00594B2C">
        <w:t xml:space="preserve">the number of beams selected in the same </w:t>
      </w:r>
      <w:r w:rsidR="00A76002">
        <w:t>beam group.</w:t>
      </w:r>
    </w:p>
    <w:p w14:paraId="495AE8B9" w14:textId="49FF81A5" w:rsidR="00A76002" w:rsidRPr="00865361" w:rsidRDefault="00045903" w:rsidP="007F6963">
      <w:pPr>
        <w:pStyle w:val="ListParagraph"/>
        <w:numPr>
          <w:ilvl w:val="0"/>
          <w:numId w:val="43"/>
        </w:numPr>
        <w:spacing w:after="180"/>
        <w:ind w:left="1559" w:hanging="357"/>
        <w:contextualSpacing w:val="0"/>
        <w:jc w:val="both"/>
        <w:rPr>
          <w:b/>
          <w:bCs/>
        </w:rPr>
      </w:pPr>
      <w:bookmarkStart w:id="5" w:name="_Ref181986228"/>
      <w:r w:rsidRPr="00865361">
        <w:rPr>
          <w:b/>
          <w:bCs/>
        </w:rPr>
        <w:t xml:space="preserve">With Alt C, </w:t>
      </w:r>
      <w:r w:rsidR="007F6963" w:rsidRPr="00865361">
        <w:rPr>
          <w:b/>
          <w:bCs/>
        </w:rPr>
        <w:t>the power restriction configured for a beam is independent of the transmission rank, the number of layers supported by this beam</w:t>
      </w:r>
      <w:r w:rsidR="00C24119" w:rsidRPr="00865361">
        <w:rPr>
          <w:b/>
          <w:bCs/>
        </w:rPr>
        <w:t xml:space="preserve"> and the number of beams</w:t>
      </w:r>
      <w:r w:rsidR="00012292" w:rsidRPr="00865361">
        <w:rPr>
          <w:b/>
          <w:bCs/>
        </w:rPr>
        <w:t xml:space="preserve"> selected in the same beam group, which</w:t>
      </w:r>
      <w:r w:rsidR="000A5AD9" w:rsidRPr="00865361">
        <w:rPr>
          <w:b/>
          <w:bCs/>
        </w:rPr>
        <w:t xml:space="preserve"> allows the network to configure the scaling values to ensure a desired maximum transmit power on certain elevation angle range regardless of rank, beam multiplicity, and number of beams selected in the same elevation</w:t>
      </w:r>
      <w:r w:rsidR="00865361" w:rsidRPr="00865361">
        <w:rPr>
          <w:b/>
          <w:bCs/>
        </w:rPr>
        <w:t xml:space="preserve"> angle range.</w:t>
      </w:r>
      <w:bookmarkEnd w:id="5"/>
    </w:p>
    <w:p w14:paraId="5B57DE1E" w14:textId="691C48E4" w:rsidR="00D631E2" w:rsidRDefault="000F32C1" w:rsidP="00D631E2">
      <w:pPr>
        <w:spacing w:after="180"/>
        <w:jc w:val="both"/>
      </w:pPr>
      <w:r>
        <w:t>A</w:t>
      </w:r>
      <w:r w:rsidR="00D631E2">
        <w:t xml:space="preserve">lthough defining the transmit power assumptions are sufficient to determine UE behaviour, </w:t>
      </w:r>
      <w:r>
        <w:t xml:space="preserve">in terms of precoder scaling, </w:t>
      </w:r>
      <w:r w:rsidR="00D631E2">
        <w:t>the three alternatives correspond to the following scaling for a rank-2 precoding matrix</w:t>
      </w:r>
    </w:p>
    <w:tbl>
      <w:tblPr>
        <w:tblStyle w:val="TableGrid"/>
        <w:tblW w:w="0" w:type="auto"/>
        <w:jc w:val="center"/>
        <w:tblLook w:val="04A0" w:firstRow="1" w:lastRow="0" w:firstColumn="1" w:lastColumn="0" w:noHBand="0" w:noVBand="1"/>
      </w:tblPr>
      <w:tblGrid>
        <w:gridCol w:w="1742"/>
        <w:gridCol w:w="3034"/>
        <w:gridCol w:w="4853"/>
      </w:tblGrid>
      <w:tr w:rsidR="00C24B4D" w14:paraId="5971CA47" w14:textId="77777777" w:rsidTr="00442C33">
        <w:trPr>
          <w:jc w:val="center"/>
        </w:trPr>
        <w:tc>
          <w:tcPr>
            <w:tcW w:w="0" w:type="auto"/>
          </w:tcPr>
          <w:p w14:paraId="015D805E" w14:textId="77777777" w:rsidR="00C24B4D" w:rsidRDefault="00C24B4D" w:rsidP="00541E63">
            <w:pPr>
              <w:spacing w:after="180"/>
              <w:jc w:val="both"/>
            </w:pPr>
          </w:p>
        </w:tc>
        <w:tc>
          <w:tcPr>
            <w:tcW w:w="0" w:type="auto"/>
            <w:vAlign w:val="center"/>
          </w:tcPr>
          <w:p w14:paraId="7B123EC2" w14:textId="134E596C" w:rsidR="00C24B4D" w:rsidRPr="00F41C3F" w:rsidRDefault="00C24B4D" w:rsidP="00442C33">
            <w:pPr>
              <w:spacing w:after="180"/>
              <w:jc w:val="center"/>
              <w:rPr>
                <w:b/>
                <w:bCs/>
              </w:rPr>
            </w:pPr>
            <w:r w:rsidRPr="00F41C3F">
              <w:rPr>
                <w:b/>
                <w:bCs/>
              </w:rPr>
              <w:t>Alt A</w:t>
            </w:r>
          </w:p>
        </w:tc>
        <w:tc>
          <w:tcPr>
            <w:tcW w:w="0" w:type="auto"/>
            <w:vAlign w:val="center"/>
          </w:tcPr>
          <w:p w14:paraId="05FE838E" w14:textId="7624DC8A" w:rsidR="00C24B4D" w:rsidRPr="00F41C3F" w:rsidRDefault="00C24B4D" w:rsidP="00442C33">
            <w:pPr>
              <w:spacing w:after="180"/>
              <w:jc w:val="center"/>
              <w:rPr>
                <w:b/>
                <w:bCs/>
              </w:rPr>
            </w:pPr>
            <w:r w:rsidRPr="00F41C3F">
              <w:rPr>
                <w:b/>
                <w:bCs/>
              </w:rPr>
              <w:t>Alt B</w:t>
            </w:r>
          </w:p>
        </w:tc>
      </w:tr>
      <w:tr w:rsidR="00C24B4D" w14:paraId="743C414D" w14:textId="77777777" w:rsidTr="00442C33">
        <w:trPr>
          <w:jc w:val="center"/>
        </w:trPr>
        <w:tc>
          <w:tcPr>
            <w:tcW w:w="0" w:type="auto"/>
          </w:tcPr>
          <w:p w14:paraId="7D69EADE" w14:textId="7C01E039" w:rsidR="00C24B4D" w:rsidRDefault="00E15ADE" w:rsidP="00F41C3F">
            <w:pPr>
              <w:spacing w:after="180"/>
            </w:pPr>
            <w:r w:rsidRPr="00F41C3F">
              <w:rPr>
                <w:b/>
                <w:bCs/>
              </w:rPr>
              <w:t>Case 1</w:t>
            </w:r>
            <w:r w:rsidR="00F41C3F">
              <w:t>:</w:t>
            </w:r>
            <w:r w:rsidR="006E5500">
              <w:t xml:space="preserve"> </w:t>
            </w:r>
            <w:r w:rsidR="00F41C3F">
              <w:t>one</w:t>
            </w:r>
            <w:r w:rsidR="00C24B4D">
              <w:t xml:space="preserve"> beam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24B4D">
              <w:t xml:space="preserve">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p>
        </w:tc>
        <w:tc>
          <w:tcPr>
            <w:tcW w:w="0" w:type="auto"/>
          </w:tcPr>
          <w:p w14:paraId="6364481F" w14:textId="344FE35F"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j</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j</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c>
          <w:tcPr>
            <w:tcW w:w="0" w:type="auto"/>
          </w:tcPr>
          <w:p w14:paraId="192FC8AC" w14:textId="5DD7C074"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r w:rsidR="00C24B4D" w14:paraId="31D88617" w14:textId="77777777" w:rsidTr="00442C33">
        <w:trPr>
          <w:jc w:val="center"/>
        </w:trPr>
        <w:tc>
          <w:tcPr>
            <w:tcW w:w="0" w:type="auto"/>
          </w:tcPr>
          <w:p w14:paraId="46A229F2" w14:textId="636609CD" w:rsidR="00C24B4D" w:rsidRDefault="006E5500" w:rsidP="00F41C3F">
            <w:pPr>
              <w:spacing w:after="180"/>
            </w:pPr>
            <w:r w:rsidRPr="00F41C3F">
              <w:rPr>
                <w:b/>
                <w:bCs/>
              </w:rPr>
              <w:t>Case 2</w:t>
            </w:r>
            <w:r w:rsidR="00F41C3F">
              <w:t xml:space="preserve">: one </w:t>
            </w:r>
            <w:r w:rsidR="00C24B4D">
              <w:t xml:space="preserve">beam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24B4D">
              <w:t xml:space="preserve">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p>
        </w:tc>
        <w:tc>
          <w:tcPr>
            <w:tcW w:w="0" w:type="auto"/>
          </w:tcPr>
          <w:p w14:paraId="5630163C" w14:textId="7BF46B09"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c>
          <w:tcPr>
            <w:tcW w:w="0" w:type="auto"/>
          </w:tcPr>
          <w:p w14:paraId="0DD1D62A" w14:textId="240868C4"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r>
      <w:tr w:rsidR="00C24B4D" w14:paraId="3701BB3D" w14:textId="77777777" w:rsidTr="00442C33">
        <w:trPr>
          <w:jc w:val="center"/>
        </w:trPr>
        <w:tc>
          <w:tcPr>
            <w:tcW w:w="0" w:type="auto"/>
          </w:tcPr>
          <w:p w14:paraId="5A9CF134" w14:textId="325AEA9F" w:rsidR="00C24B4D" w:rsidRDefault="006E5500" w:rsidP="00F41C3F">
            <w:pPr>
              <w:spacing w:after="180"/>
            </w:pPr>
            <w:r w:rsidRPr="00F41C3F">
              <w:rPr>
                <w:b/>
                <w:bCs/>
              </w:rPr>
              <w:t>Case 3</w:t>
            </w:r>
            <w:r>
              <w:t>: two</w:t>
            </w:r>
            <w:r w:rsidR="00C24B4D">
              <w:t xml:space="preserve"> beams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tc>
        <w:tc>
          <w:tcPr>
            <w:tcW w:w="0" w:type="auto"/>
          </w:tcPr>
          <w:p w14:paraId="51DE315B" w14:textId="7033156B"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c>
          <w:tcPr>
            <w:tcW w:w="0" w:type="auto"/>
          </w:tcPr>
          <w:p w14:paraId="54184540" w14:textId="04C9D5AA" w:rsidR="00C24B4D" w:rsidRDefault="00C24B4D"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bl>
    <w:p w14:paraId="0D9D056A" w14:textId="77777777" w:rsidR="00D631E2" w:rsidRDefault="00D631E2" w:rsidP="00541E63">
      <w:pPr>
        <w:spacing w:after="180"/>
        <w:jc w:val="both"/>
      </w:pPr>
    </w:p>
    <w:tbl>
      <w:tblPr>
        <w:tblStyle w:val="TableGrid"/>
        <w:tblW w:w="0" w:type="auto"/>
        <w:jc w:val="right"/>
        <w:tblLook w:val="04A0" w:firstRow="1" w:lastRow="0" w:firstColumn="1" w:lastColumn="0" w:noHBand="0" w:noVBand="1"/>
      </w:tblPr>
      <w:tblGrid>
        <w:gridCol w:w="4853"/>
      </w:tblGrid>
      <w:tr w:rsidR="00442C33" w14:paraId="2985580A" w14:textId="77777777" w:rsidTr="00AB3D68">
        <w:trPr>
          <w:jc w:val="right"/>
        </w:trPr>
        <w:tc>
          <w:tcPr>
            <w:tcW w:w="0" w:type="auto"/>
            <w:vAlign w:val="center"/>
          </w:tcPr>
          <w:p w14:paraId="066D488F" w14:textId="6AE38F04" w:rsidR="00442C33" w:rsidRPr="00F41C3F" w:rsidRDefault="00AB3D68" w:rsidP="00AB3D68">
            <w:pPr>
              <w:spacing w:after="180"/>
              <w:jc w:val="center"/>
              <w:rPr>
                <w:b/>
                <w:bCs/>
              </w:rPr>
            </w:pPr>
            <w:r w:rsidRPr="00F41C3F">
              <w:rPr>
                <w:b/>
                <w:bCs/>
              </w:rPr>
              <w:t>Alt C</w:t>
            </w:r>
          </w:p>
        </w:tc>
      </w:tr>
      <w:tr w:rsidR="00442C33" w14:paraId="3FA65523" w14:textId="77777777" w:rsidTr="00AB3D68">
        <w:trPr>
          <w:jc w:val="right"/>
        </w:trPr>
        <w:tc>
          <w:tcPr>
            <w:tcW w:w="0" w:type="auto"/>
          </w:tcPr>
          <w:p w14:paraId="7B8F330C" w14:textId="1A70F39A" w:rsidR="00442C33" w:rsidRDefault="00E60D91"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r w:rsidR="00442C33" w14:paraId="4F5428A4" w14:textId="77777777" w:rsidTr="00AB3D68">
        <w:trPr>
          <w:jc w:val="right"/>
        </w:trPr>
        <w:tc>
          <w:tcPr>
            <w:tcW w:w="0" w:type="auto"/>
          </w:tcPr>
          <w:p w14:paraId="6B1CEA44" w14:textId="48FCB3C3" w:rsidR="00442C33" w:rsidRDefault="00505E67"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r>
      <w:tr w:rsidR="00442C33" w14:paraId="47F4E1C0" w14:textId="77777777" w:rsidTr="00AB3D68">
        <w:trPr>
          <w:jc w:val="right"/>
        </w:trPr>
        <w:tc>
          <w:tcPr>
            <w:tcW w:w="0" w:type="auto"/>
          </w:tcPr>
          <w:p w14:paraId="6AA7F1D1" w14:textId="09E87D7E" w:rsidR="00442C33" w:rsidRDefault="00862EE7"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bl>
    <w:p w14:paraId="6246F14F" w14:textId="77777777" w:rsidR="00442C33" w:rsidRDefault="00442C33" w:rsidP="00541E63">
      <w:pPr>
        <w:spacing w:after="180"/>
        <w:jc w:val="both"/>
      </w:pPr>
    </w:p>
    <w:p w14:paraId="08AFDA1D" w14:textId="101FEA34" w:rsidR="00D631E2" w:rsidRPr="00871307" w:rsidRDefault="00C9736D" w:rsidP="008B5CBC">
      <w:pPr>
        <w:pStyle w:val="ListParagraph"/>
        <w:numPr>
          <w:ilvl w:val="0"/>
          <w:numId w:val="43"/>
        </w:numPr>
        <w:spacing w:after="180"/>
        <w:ind w:left="1559" w:hanging="357"/>
        <w:contextualSpacing w:val="0"/>
        <w:jc w:val="both"/>
        <w:rPr>
          <w:b/>
          <w:bCs/>
        </w:rPr>
      </w:pPr>
      <w:bookmarkStart w:id="6" w:name="_Ref181986240"/>
      <w:r w:rsidRPr="00871307">
        <w:rPr>
          <w:b/>
          <w:bCs/>
        </w:rPr>
        <w:t xml:space="preserve">The </w:t>
      </w:r>
      <w:r w:rsidR="00322E00" w:rsidRPr="00871307">
        <w:rPr>
          <w:b/>
          <w:bCs/>
        </w:rPr>
        <w:t xml:space="preserve">transmit power restriction </w:t>
      </w:r>
      <w:r w:rsidR="00812BDE" w:rsidRPr="00871307">
        <w:rPr>
          <w:b/>
          <w:bCs/>
        </w:rPr>
        <w:t xml:space="preserve">configured </w:t>
      </w:r>
      <w:r w:rsidR="0027551F" w:rsidRPr="00871307">
        <w:rPr>
          <w:b/>
          <w:bCs/>
        </w:rPr>
        <w:t>for Alt</w:t>
      </w:r>
      <w:r w:rsidR="002C23C0" w:rsidRPr="00871307">
        <w:rPr>
          <w:b/>
          <w:bCs/>
        </w:rPr>
        <w:t xml:space="preserve"> B and C </w:t>
      </w:r>
      <w:r w:rsidR="00FC5F59" w:rsidRPr="00871307">
        <w:rPr>
          <w:b/>
          <w:bCs/>
        </w:rPr>
        <w:t>is the same except</w:t>
      </w:r>
      <w:r w:rsidR="00812BDE" w:rsidRPr="00871307">
        <w:rPr>
          <w:b/>
          <w:bCs/>
        </w:rPr>
        <w:t xml:space="preserve"> for the case</w:t>
      </w:r>
      <w:r w:rsidR="0046373D" w:rsidRPr="00871307">
        <w:rPr>
          <w:b/>
          <w:bCs/>
        </w:rPr>
        <w:t xml:space="preserve"> of two beams selected in the same </w:t>
      </w:r>
      <w:r w:rsidR="000F7597" w:rsidRPr="00871307">
        <w:rPr>
          <w:b/>
          <w:bCs/>
        </w:rPr>
        <w:t>beam group</w:t>
      </w:r>
      <w:r w:rsidR="007101F3" w:rsidRPr="00871307">
        <w:rPr>
          <w:b/>
          <w:bCs/>
        </w:rPr>
        <w:t>, i.e., with the same elevation angle range</w:t>
      </w:r>
      <w:r w:rsidR="00EC5C8C" w:rsidRPr="00871307">
        <w:rPr>
          <w:b/>
          <w:bCs/>
        </w:rPr>
        <w:t>. In this case Alt B</w:t>
      </w:r>
      <w:r w:rsidR="00526467" w:rsidRPr="00871307">
        <w:rPr>
          <w:b/>
          <w:bCs/>
        </w:rPr>
        <w:t xml:space="preserve"> results in </w:t>
      </w:r>
      <w:r w:rsidR="009B1427" w:rsidRPr="00871307">
        <w:rPr>
          <w:b/>
          <w:bCs/>
        </w:rPr>
        <w:t xml:space="preserve">a transmit power </w:t>
      </w:r>
      <w:r w:rsidR="00FB4EA0" w:rsidRPr="00871307">
        <w:rPr>
          <w:b/>
          <w:bCs/>
        </w:rPr>
        <w:t>on</w:t>
      </w:r>
      <w:r w:rsidR="00871307" w:rsidRPr="00871307">
        <w:rPr>
          <w:b/>
          <w:bCs/>
        </w:rPr>
        <w:t xml:space="preserve"> this elevation angle</w:t>
      </w:r>
      <w:r w:rsidR="00735366">
        <w:rPr>
          <w:b/>
          <w:bCs/>
        </w:rPr>
        <w:t xml:space="preserve"> range</w:t>
      </w:r>
      <w:r w:rsidR="00871307" w:rsidRPr="00871307">
        <w:rPr>
          <w:b/>
          <w:bCs/>
        </w:rPr>
        <w:t xml:space="preserve"> that is 3dB higher than Alt C.</w:t>
      </w:r>
      <w:bookmarkEnd w:id="6"/>
    </w:p>
    <w:p w14:paraId="440DAAA2" w14:textId="74015A7E" w:rsidR="00D631E2" w:rsidRDefault="008619AF" w:rsidP="00541E63">
      <w:pPr>
        <w:spacing w:after="180"/>
        <w:jc w:val="both"/>
      </w:pPr>
      <w:r>
        <w:t xml:space="preserve">Configuring different scaling values of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for rank 1 and rank 2 does not </w:t>
      </w:r>
      <w:r w:rsidR="005708F8">
        <w:t xml:space="preserve">resolve </w:t>
      </w:r>
      <w:r w:rsidR="00A07C06">
        <w:t xml:space="preserve">the </w:t>
      </w:r>
      <w:r w:rsidR="005708F8">
        <w:t xml:space="preserve">inconsistencies of the </w:t>
      </w:r>
      <w:r w:rsidR="00F033D2">
        <w:t>transmit power restriction</w:t>
      </w:r>
      <w:r w:rsidR="00A07C06">
        <w:t xml:space="preserve"> of Alt A for different beam multiplicity</w:t>
      </w:r>
      <w:r w:rsidR="00C250E0">
        <w:t>. Besides, for Alt B and C, rank-common configuration is sufficient.</w:t>
      </w:r>
    </w:p>
    <w:p w14:paraId="6326D60B" w14:textId="77777777" w:rsidR="00DB74E7" w:rsidRPr="004A16C3" w:rsidRDefault="00DB74E7" w:rsidP="00DB74E7">
      <w:pPr>
        <w:pStyle w:val="Caption"/>
        <w:numPr>
          <w:ilvl w:val="0"/>
          <w:numId w:val="44"/>
        </w:numPr>
        <w:spacing w:before="0" w:after="180"/>
        <w:ind w:left="1276" w:hanging="357"/>
      </w:pPr>
      <w:bookmarkStart w:id="7" w:name="_Ref181986361"/>
      <w:r w:rsidRPr="004A16C3">
        <w:t>Regarding the UE assumption of PDSCH power restriction for rank 2, when 3-bit beam-group power scaling is configured, support Alt B or C.</w:t>
      </w:r>
      <w:bookmarkEnd w:id="7"/>
      <w:r w:rsidRPr="004A16C3">
        <w:t xml:space="preserve"> </w:t>
      </w:r>
    </w:p>
    <w:p w14:paraId="63EE48B3" w14:textId="77777777" w:rsidR="00DB74E7" w:rsidRPr="004A16C3" w:rsidRDefault="00DB74E7" w:rsidP="00DB74E7">
      <w:pPr>
        <w:pStyle w:val="ListParagraph"/>
        <w:numPr>
          <w:ilvl w:val="0"/>
          <w:numId w:val="44"/>
        </w:numPr>
        <w:spacing w:after="180"/>
        <w:ind w:left="1276" w:hanging="357"/>
        <w:contextualSpacing w:val="0"/>
        <w:rPr>
          <w:b/>
          <w:bCs/>
        </w:rPr>
      </w:pPr>
      <w:bookmarkStart w:id="8" w:name="_Ref181986383"/>
      <w:r w:rsidRPr="004A16C3">
        <w:rPr>
          <w:b/>
          <w:bCs/>
        </w:rPr>
        <w:t>Support rank-common configuration of 3-bit beam-group power scaling.</w:t>
      </w:r>
      <w:bookmarkEnd w:id="8"/>
    </w:p>
    <w:p w14:paraId="58E84EE0" w14:textId="77777777" w:rsidR="00DB74E7" w:rsidRDefault="00DB74E7" w:rsidP="00541E63">
      <w:pPr>
        <w:spacing w:after="180"/>
        <w:jc w:val="both"/>
      </w:pPr>
    </w:p>
    <w:p w14:paraId="03E8A47A" w14:textId="1E9DEB0D" w:rsidR="009E5788" w:rsidRPr="008A35B1" w:rsidRDefault="002602BF" w:rsidP="00F34A9D">
      <w:pPr>
        <w:keepNext/>
        <w:spacing w:after="180"/>
      </w:pPr>
      <w:r>
        <w:t xml:space="preserve">An example of </w:t>
      </w:r>
      <w:r w:rsidR="00047240" w:rsidRPr="00047240">
        <w:t xml:space="preserve">UE assumption on the fraction of PDSCH power per beam and per layer </w:t>
      </w:r>
      <w:r w:rsidR="00047240">
        <w:t>for Case 1 is illustrated in</w:t>
      </w:r>
      <w:r w:rsidR="00B31291" w:rsidRPr="008A35B1">
        <w:t xml:space="preserve"> </w:t>
      </w:r>
      <w:r w:rsidR="00B31291" w:rsidRPr="008A35B1">
        <w:fldChar w:fldCharType="begin"/>
      </w:r>
      <w:r w:rsidR="00B31291" w:rsidRPr="008A35B1">
        <w:instrText xml:space="preserve"> REF _Ref178786954 \h </w:instrText>
      </w:r>
      <w:r w:rsidR="00B31291" w:rsidRPr="008A35B1">
        <w:fldChar w:fldCharType="separate"/>
      </w:r>
      <w:r w:rsidR="00761C39" w:rsidRPr="008A35B1">
        <w:t xml:space="preserve">Figure </w:t>
      </w:r>
      <w:r w:rsidR="00761C39">
        <w:rPr>
          <w:noProof/>
        </w:rPr>
        <w:t>1</w:t>
      </w:r>
      <w:r w:rsidR="00B31291" w:rsidRPr="008A35B1">
        <w:fldChar w:fldCharType="end"/>
      </w:r>
      <w:r w:rsidR="0045632B" w:rsidRPr="008A35B1">
        <w:t xml:space="preserve"> for a rank-2 PMI with layer 1 mapped to a be</w:t>
      </w:r>
      <w:r w:rsidR="00E825A1" w:rsidRPr="008A35B1">
        <w:t xml:space="preserve">am of beam group </w:t>
      </w:r>
      <m:oMath>
        <m:sSub>
          <m:sSubPr>
            <m:ctrlPr>
              <w:rPr>
                <w:rFonts w:ascii="Cambria Math" w:hAnsi="Cambria Math"/>
                <w:i/>
              </w:rPr>
            </m:ctrlPr>
          </m:sSubPr>
          <m:e>
            <m:r>
              <w:rPr>
                <w:rFonts w:ascii="Cambria Math" w:hAnsi="Cambria Math"/>
              </w:rPr>
              <m:t>G</m:t>
            </m:r>
          </m:e>
          <m:sub>
            <m:r>
              <w:rPr>
                <w:rFonts w:ascii="Cambria Math" w:hAnsi="Cambria Math"/>
              </w:rPr>
              <m:t>2</m:t>
            </m:r>
          </m:sub>
        </m:sSub>
      </m:oMath>
      <w:r w:rsidR="00E825A1" w:rsidRPr="008A35B1">
        <w:t xml:space="preserve"> and </w:t>
      </w:r>
      <w:r w:rsidR="002E368D" w:rsidRPr="008A35B1">
        <w:t xml:space="preserve">layer 2 mapped to a beam of beam group </w:t>
      </w:r>
      <m:oMath>
        <m:sSub>
          <m:sSubPr>
            <m:ctrlPr>
              <w:rPr>
                <w:rFonts w:ascii="Cambria Math" w:hAnsi="Cambria Math"/>
                <w:i/>
              </w:rPr>
            </m:ctrlPr>
          </m:sSubPr>
          <m:e>
            <m:r>
              <w:rPr>
                <w:rFonts w:ascii="Cambria Math" w:hAnsi="Cambria Math"/>
              </w:rPr>
              <m:t>G</m:t>
            </m:r>
          </m:e>
          <m:sub>
            <m:r>
              <w:rPr>
                <w:rFonts w:ascii="Cambria Math" w:hAnsi="Cambria Math"/>
              </w:rPr>
              <m:t>1</m:t>
            </m:r>
          </m:sub>
        </m:sSub>
      </m:oMath>
      <w:r w:rsidR="002E368D" w:rsidRPr="008A35B1">
        <w:t>.</w:t>
      </w:r>
      <w:r w:rsidR="00C43611">
        <w:t xml:space="preserve"> The </w:t>
      </w:r>
      <w:r w:rsidR="001A690A">
        <w:t>transmit power restriction is the same for Alt B and Alt B</w:t>
      </w:r>
    </w:p>
    <w:p w14:paraId="47D4A3E7" w14:textId="77777777" w:rsidR="009E5788" w:rsidRPr="008A35B1" w:rsidRDefault="009E5788" w:rsidP="00F34A9D">
      <w:pPr>
        <w:keepNext/>
        <w:spacing w:after="180"/>
      </w:pPr>
    </w:p>
    <w:p w14:paraId="0093EC7E" w14:textId="57CA59ED" w:rsidR="00C62651" w:rsidRPr="008A35B1" w:rsidRDefault="00135E9E" w:rsidP="00C62651">
      <w:pPr>
        <w:keepNext/>
        <w:spacing w:after="180"/>
        <w:jc w:val="center"/>
      </w:pPr>
      <w:r w:rsidRPr="008A35B1">
        <w:rPr>
          <w:noProof/>
        </w:rPr>
        <w:drawing>
          <wp:inline distT="0" distB="0" distL="0" distR="0" wp14:anchorId="714E1859" wp14:editId="2A723FA1">
            <wp:extent cx="5773302" cy="3954780"/>
            <wp:effectExtent l="0" t="0" r="0" b="0"/>
            <wp:docPr id="26238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86152" name="Picture 262386152"/>
                    <pic:cNvPicPr/>
                  </pic:nvPicPr>
                  <pic:blipFill>
                    <a:blip r:embed="rId13"/>
                    <a:stretch>
                      <a:fillRect/>
                    </a:stretch>
                  </pic:blipFill>
                  <pic:spPr>
                    <a:xfrm>
                      <a:off x="0" y="0"/>
                      <a:ext cx="5789224" cy="3965687"/>
                    </a:xfrm>
                    <a:prstGeom prst="rect">
                      <a:avLst/>
                    </a:prstGeom>
                  </pic:spPr>
                </pic:pic>
              </a:graphicData>
            </a:graphic>
          </wp:inline>
        </w:drawing>
      </w:r>
    </w:p>
    <w:p w14:paraId="45E455F8" w14:textId="15C262C7" w:rsidR="00C62651" w:rsidRPr="008A35B1" w:rsidRDefault="00C62651" w:rsidP="00C62651">
      <w:pPr>
        <w:pStyle w:val="Caption"/>
        <w:jc w:val="center"/>
      </w:pPr>
      <w:bookmarkStart w:id="9" w:name="_Ref178786954"/>
      <w:r w:rsidRPr="008A35B1">
        <w:t xml:space="preserve">Figure </w:t>
      </w:r>
      <w:r w:rsidRPr="008A35B1">
        <w:fldChar w:fldCharType="begin"/>
      </w:r>
      <w:r w:rsidRPr="008A35B1">
        <w:instrText xml:space="preserve"> SEQ Figure \* ARABIC </w:instrText>
      </w:r>
      <w:r w:rsidRPr="008A35B1">
        <w:fldChar w:fldCharType="separate"/>
      </w:r>
      <w:r w:rsidR="00761C39">
        <w:rPr>
          <w:noProof/>
        </w:rPr>
        <w:t>1</w:t>
      </w:r>
      <w:r w:rsidRPr="008A35B1">
        <w:fldChar w:fldCharType="end"/>
      </w:r>
      <w:bookmarkEnd w:id="9"/>
      <w:r w:rsidR="00EE2B85" w:rsidRPr="008A35B1">
        <w:t xml:space="preserve">. </w:t>
      </w:r>
      <w:r w:rsidR="00724927">
        <w:t xml:space="preserve">Example of </w:t>
      </w:r>
      <w:r w:rsidR="00EE2B85" w:rsidRPr="008A35B1">
        <w:t xml:space="preserve">UE assumption on the </w:t>
      </w:r>
      <w:r w:rsidR="00CC524A" w:rsidRPr="008A35B1">
        <w:t>fraction of PDSCH power per beam and per layer</w:t>
      </w:r>
      <w:r w:rsidR="00476F6C" w:rsidRPr="008A35B1">
        <w:t xml:space="preserve"> </w:t>
      </w:r>
      <w:r w:rsidR="00D85469">
        <w:t xml:space="preserve">for </w:t>
      </w:r>
      <w:r w:rsidR="00724927">
        <w:t>Alt B and C</w:t>
      </w:r>
      <w:r w:rsidR="0068247D">
        <w:t xml:space="preserve"> and Case </w:t>
      </w:r>
      <w:r w:rsidR="00F25BA0">
        <w:t>1</w:t>
      </w:r>
      <w:r w:rsidR="00476F6C" w:rsidRPr="008A35B1">
        <w:t>.</w:t>
      </w:r>
    </w:p>
    <w:p w14:paraId="5A8B8136" w14:textId="77777777" w:rsidR="00C62651" w:rsidRPr="008A35B1" w:rsidRDefault="00C62651" w:rsidP="00C62651"/>
    <w:p w14:paraId="257148BA" w14:textId="77777777" w:rsidR="00085A1B" w:rsidRPr="008A35B1" w:rsidRDefault="00085A1B" w:rsidP="00200A15">
      <w:pPr>
        <w:spacing w:after="180"/>
        <w:rPr>
          <w:b/>
          <w:bCs/>
        </w:rPr>
      </w:pPr>
    </w:p>
    <w:p w14:paraId="303FE1DD" w14:textId="5DC3E5A0" w:rsidR="00A03E0F" w:rsidRPr="008A35B1" w:rsidRDefault="00A03E0F">
      <w:pPr>
        <w:pStyle w:val="Heading2"/>
      </w:pPr>
      <w:r w:rsidRPr="008A35B1">
        <w:t>2.2</w:t>
      </w:r>
      <w:r w:rsidRPr="008A35B1">
        <w:tab/>
      </w:r>
      <w:r w:rsidR="00A01E78">
        <w:t xml:space="preserve">Extension of </w:t>
      </w:r>
      <w:r w:rsidR="00F93AB6">
        <w:t>Type-I Scheme-A and Schem</w:t>
      </w:r>
      <w:r w:rsidR="000D178B">
        <w:t>e-B to</w:t>
      </w:r>
      <w:r w:rsidR="00D85F92">
        <w:t xml:space="preserve"> </w:t>
      </w:r>
      <w:r w:rsidR="009B6FF2">
        <w:rPr>
          <w:rFonts w:cs="Arial"/>
        </w:rPr>
        <w:t>≤</w:t>
      </w:r>
      <w:r w:rsidR="000D178B">
        <w:t xml:space="preserve"> </w:t>
      </w:r>
      <w:r w:rsidR="00D85F92">
        <w:t>32 ports</w:t>
      </w:r>
    </w:p>
    <w:p w14:paraId="38C26B45" w14:textId="01C31EBD" w:rsidR="002916DF" w:rsidRDefault="00FF23A2" w:rsidP="00BC6158">
      <w:r>
        <w:t>Scheme-A and Scheme-B have been introduced</w:t>
      </w:r>
      <w:r w:rsidR="00E272BD">
        <w:t xml:space="preserve"> </w:t>
      </w:r>
      <w:r>
        <w:t xml:space="preserve">as </w:t>
      </w:r>
      <w:r w:rsidR="00A636E4">
        <w:t>Type-I c</w:t>
      </w:r>
      <w:r w:rsidR="00E272BD">
        <w:t>odebook</w:t>
      </w:r>
      <w:r w:rsidR="007F2E10">
        <w:t xml:space="preserve"> refinement</w:t>
      </w:r>
      <w:r w:rsidR="00071751">
        <w:t xml:space="preserve"> for</w:t>
      </w:r>
      <w:r w:rsidR="00C361FD">
        <w:t xml:space="preserve"> 48, 64 and 128 ports</w:t>
      </w:r>
      <w:r w:rsidR="00207374">
        <w:t>. However</w:t>
      </w:r>
      <w:r w:rsidR="00F91C76">
        <w:t xml:space="preserve">, </w:t>
      </w:r>
      <w:r w:rsidR="00A504A3">
        <w:t>extending support of both schemes for legacy 32 or fewer ports</w:t>
      </w:r>
      <w:r w:rsidR="00ED27E5">
        <w:t xml:space="preserve"> seems straightforward</w:t>
      </w:r>
      <w:r w:rsidR="00A26F07">
        <w:t>,</w:t>
      </w:r>
      <w:r w:rsidR="00ED27E5">
        <w:t xml:space="preserve"> </w:t>
      </w:r>
      <w:r w:rsidR="00A86B4C">
        <w:t xml:space="preserve">by adding </w:t>
      </w:r>
      <w:r w:rsidR="00824FD7">
        <w:t xml:space="preserve">legacy </w:t>
      </w:r>
      <w:r w:rsidR="006562D0">
        <w:t xml:space="preserve">value pairs for the </w:t>
      </w:r>
      <w:r w:rsidR="00EF776F">
        <w:t xml:space="preserve">CSI-RS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EF776F">
        <w:t xml:space="preserve">, and </w:t>
      </w:r>
      <w:r w:rsidR="00404503">
        <w:t>provides some benefits.</w:t>
      </w:r>
      <w:r w:rsidR="00F47FCF">
        <w:t xml:space="preserve"> One benefit is the </w:t>
      </w:r>
      <w:r w:rsidR="00751F89">
        <w:t xml:space="preserve">better </w:t>
      </w:r>
      <w:r w:rsidR="00B24017">
        <w:t>throughput</w:t>
      </w:r>
      <w:r w:rsidR="000131F9">
        <w:t xml:space="preserve">-overhead </w:t>
      </w:r>
      <w:r w:rsidR="00B75719">
        <w:t xml:space="preserve">trade-off offered by Scheme-A and -B compared to legacy </w:t>
      </w:r>
      <w:r w:rsidR="00FC698C">
        <w:t>Rel</w:t>
      </w:r>
      <w:r w:rsidR="00380605">
        <w:t>-</w:t>
      </w:r>
      <w:r w:rsidR="00FC698C">
        <w:t>15 Type-I</w:t>
      </w:r>
      <w:r w:rsidR="00B60A84">
        <w:t>. Besides,</w:t>
      </w:r>
      <w:r w:rsidR="00CD4F4C">
        <w:t xml:space="preserve"> subject to UE capability,</w:t>
      </w:r>
      <w:r w:rsidR="00B60A84">
        <w:t xml:space="preserve"> </w:t>
      </w:r>
      <w:r w:rsidR="0082525D">
        <w:t xml:space="preserve">a UE supporting </w:t>
      </w:r>
      <w:r w:rsidR="001D7EC5">
        <w:t xml:space="preserve">Scheme-A and/or Scheme-B for </w:t>
      </w:r>
      <w:r w:rsidR="006903C1">
        <w:t>more than 32 ports</w:t>
      </w:r>
      <w:r w:rsidR="00410BE3">
        <w:t xml:space="preserve"> can reuse the same codebook </w:t>
      </w:r>
      <w:r w:rsidR="00903AC9">
        <w:t xml:space="preserve">implementation </w:t>
      </w:r>
      <w:r w:rsidR="001C249F">
        <w:t xml:space="preserve">for </w:t>
      </w:r>
      <w:r w:rsidR="003B4634">
        <w:t>non-aggregated CSI-RS resources</w:t>
      </w:r>
      <w:r w:rsidR="00903AC9">
        <w:t xml:space="preserve"> with </w:t>
      </w:r>
      <w:r w:rsidR="00831E1A">
        <w:t>consistent</w:t>
      </w:r>
      <w:r w:rsidR="000E45BD">
        <w:t xml:space="preserve"> performance</w:t>
      </w:r>
      <w:r w:rsidR="00B75719">
        <w:t xml:space="preserve"> </w:t>
      </w:r>
      <w:r w:rsidR="002916DF">
        <w:t>and without added complexity.</w:t>
      </w:r>
    </w:p>
    <w:p w14:paraId="56F6C132" w14:textId="78619552" w:rsidR="000A2CE0" w:rsidRPr="00A54177" w:rsidRDefault="00AD191B" w:rsidP="000A2CE0">
      <w:pPr>
        <w:pStyle w:val="ListParagraph"/>
        <w:numPr>
          <w:ilvl w:val="0"/>
          <w:numId w:val="43"/>
        </w:numPr>
        <w:spacing w:after="180"/>
        <w:ind w:left="1559" w:hanging="357"/>
        <w:contextualSpacing w:val="0"/>
        <w:rPr>
          <w:b/>
          <w:bCs/>
        </w:rPr>
      </w:pPr>
      <w:bookmarkStart w:id="10" w:name="_Ref181986254"/>
      <w:r w:rsidRPr="00A54177">
        <w:rPr>
          <w:b/>
          <w:bCs/>
        </w:rPr>
        <w:t>Scheme-A and Scheme-B</w:t>
      </w:r>
      <w:r w:rsidR="00173244" w:rsidRPr="00A54177">
        <w:rPr>
          <w:b/>
          <w:bCs/>
        </w:rPr>
        <w:t xml:space="preserve"> for Type-I</w:t>
      </w:r>
      <w:r w:rsidR="006875CC" w:rsidRPr="00A54177">
        <w:rPr>
          <w:b/>
          <w:bCs/>
        </w:rPr>
        <w:t xml:space="preserve"> can be extended to support</w:t>
      </w:r>
      <w:r w:rsidR="00203B7D" w:rsidRPr="00A54177">
        <w:rPr>
          <w:b/>
          <w:bCs/>
        </w:rPr>
        <w:t xml:space="preserve"> 32 or fewer ports</w:t>
      </w:r>
      <w:r w:rsidR="00352AFF" w:rsidRPr="00A54177">
        <w:rPr>
          <w:b/>
          <w:bCs/>
        </w:rPr>
        <w:t xml:space="preserve"> by adding</w:t>
      </w:r>
      <w:r w:rsidR="007F268C" w:rsidRPr="00A54177">
        <w:rPr>
          <w:b/>
          <w:bCs/>
        </w:rPr>
        <w:t xml:space="preserve"> </w:t>
      </w:r>
      <w:r w:rsidR="006D035A" w:rsidRPr="00A54177">
        <w:rPr>
          <w:b/>
          <w:bCs/>
        </w:rPr>
        <w:t xml:space="preserve">support for </w:t>
      </w:r>
      <w:r w:rsidR="007F268C" w:rsidRPr="00A54177">
        <w:rPr>
          <w:b/>
          <w:bCs/>
        </w:rPr>
        <w:t>legacy</w:t>
      </w:r>
      <w:r w:rsidR="006D035A" w:rsidRPr="00A54177">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006D035A" w:rsidRPr="00A54177">
        <w:rPr>
          <w:b/>
          <w:bCs/>
        </w:rPr>
        <w:t xml:space="preserve"> parameters</w:t>
      </w:r>
      <w:r w:rsidR="00C3610C" w:rsidRPr="00A54177">
        <w:rPr>
          <w:b/>
          <w:bCs/>
        </w:rPr>
        <w:t xml:space="preserve">. This extension </w:t>
      </w:r>
      <w:r w:rsidR="002923DE" w:rsidRPr="00A54177">
        <w:rPr>
          <w:b/>
          <w:bCs/>
        </w:rPr>
        <w:t xml:space="preserve">provides </w:t>
      </w:r>
      <w:r w:rsidR="006A457E" w:rsidRPr="00A54177">
        <w:rPr>
          <w:b/>
          <w:bCs/>
        </w:rPr>
        <w:t>better throughput vs overhead perfor</w:t>
      </w:r>
      <w:r w:rsidR="001A0679" w:rsidRPr="00A54177">
        <w:rPr>
          <w:b/>
          <w:bCs/>
        </w:rPr>
        <w:t>mance compared to Rel-15 Type-I</w:t>
      </w:r>
      <w:r w:rsidR="00162DF9" w:rsidRPr="00A54177">
        <w:rPr>
          <w:b/>
          <w:bCs/>
        </w:rPr>
        <w:t xml:space="preserve"> and allows a UE</w:t>
      </w:r>
      <w:r w:rsidR="002D10D5" w:rsidRPr="00A54177">
        <w:rPr>
          <w:b/>
          <w:bCs/>
        </w:rPr>
        <w:t xml:space="preserve"> supporting this feature to </w:t>
      </w:r>
      <w:r w:rsidR="0007072C" w:rsidRPr="00A54177">
        <w:rPr>
          <w:b/>
          <w:bCs/>
        </w:rPr>
        <w:t xml:space="preserve">reuse the same codebook implementation </w:t>
      </w:r>
      <w:r w:rsidR="005932EE" w:rsidRPr="00A54177">
        <w:rPr>
          <w:b/>
          <w:bCs/>
        </w:rPr>
        <w:t xml:space="preserve">for non-aggregated </w:t>
      </w:r>
      <w:r w:rsidR="0073573B" w:rsidRPr="00A54177">
        <w:rPr>
          <w:b/>
          <w:bCs/>
        </w:rPr>
        <w:t xml:space="preserve">CSI-RS </w:t>
      </w:r>
      <w:r w:rsidR="009B7457" w:rsidRPr="00A54177">
        <w:rPr>
          <w:b/>
          <w:bCs/>
        </w:rPr>
        <w:t>resources with consistent performance and without added complexity</w:t>
      </w:r>
      <w:r w:rsidR="00C7265E" w:rsidRPr="00A54177">
        <w:rPr>
          <w:b/>
          <w:bCs/>
        </w:rPr>
        <w:t>.</w:t>
      </w:r>
      <w:bookmarkEnd w:id="10"/>
    </w:p>
    <w:p w14:paraId="10A02BAF" w14:textId="393AA0C0" w:rsidR="00A263CA" w:rsidRDefault="000A2CE0" w:rsidP="00BC6158">
      <w:r>
        <w:t>In the following</w:t>
      </w:r>
      <w:r w:rsidR="002D0F69">
        <w:t>,</w:t>
      </w:r>
      <w:r w:rsidR="00E272BD">
        <w:t xml:space="preserve"> </w:t>
      </w:r>
      <w:r w:rsidR="00E02C5F">
        <w:t xml:space="preserve">we </w:t>
      </w:r>
      <w:r w:rsidR="00FB6361">
        <w:t>compared</w:t>
      </w:r>
      <w:r w:rsidR="00E02C5F">
        <w:t xml:space="preserve"> </w:t>
      </w:r>
      <w:r w:rsidR="00485007">
        <w:t>perfor</w:t>
      </w:r>
      <w:r w:rsidR="00BF6ABB">
        <w:t xml:space="preserve">mance of </w:t>
      </w:r>
      <w:r w:rsidR="005F2C6C">
        <w:t>both Scheme-A and -B</w:t>
      </w:r>
      <w:r w:rsidR="00C64124">
        <w:t xml:space="preserve"> </w:t>
      </w:r>
      <w:r w:rsidR="00071E3D">
        <w:t>to</w:t>
      </w:r>
      <w:r w:rsidR="00380605">
        <w:t xml:space="preserve"> legacy Rel-15 Type-I for 16 and 32</w:t>
      </w:r>
      <w:r w:rsidR="00601ACD">
        <w:t xml:space="preserve"> CSI-RS ports</w:t>
      </w:r>
      <w:r w:rsidR="002D0F69">
        <w:t xml:space="preserve">. </w:t>
      </w:r>
      <w:r w:rsidR="00D27F58">
        <w:t xml:space="preserve">We simulated </w:t>
      </w:r>
      <w:r w:rsidR="005051DA">
        <w:t>SU-MIMO performance</w:t>
      </w:r>
      <w:r w:rsidR="00906C77">
        <w:t xml:space="preserve"> with maximum rank 8 for UEs equipped with </w:t>
      </w:r>
      <w:r w:rsidR="00D03D6F">
        <w:t>8RX antennas</w:t>
      </w:r>
      <w:r w:rsidR="00970CDC">
        <w:t xml:space="preserve">. </w:t>
      </w:r>
      <w:r w:rsidR="00C7281E">
        <w:t xml:space="preserve">We considered </w:t>
      </w:r>
      <w:r w:rsidR="009457C2">
        <w:t>a</w:t>
      </w:r>
      <w:r w:rsidR="00E14602">
        <w:t>n</w:t>
      </w:r>
      <w:r w:rsidR="009457C2">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r>
          <w:rPr>
            <w:rFonts w:ascii="Cambria Math" w:hAnsi="Cambria Math"/>
          </w:rPr>
          <m:t>(4,2)</m:t>
        </m:r>
      </m:oMath>
      <w:r w:rsidR="00923613">
        <w:t xml:space="preserve"> port layout for</w:t>
      </w:r>
      <w:r w:rsidR="004826DB">
        <w:t xml:space="preserve"> 16</w:t>
      </w:r>
      <w:r w:rsidR="00970CDC">
        <w:t>T</w:t>
      </w:r>
      <w:r w:rsidR="00A26BA4">
        <w:t xml:space="preserve">X </w:t>
      </w:r>
      <w:r w:rsidR="0018466B">
        <w:t xml:space="preserve">ports and </w:t>
      </w:r>
      <w:r w:rsidR="008862C6">
        <w:t>a</w:t>
      </w:r>
      <w:r w:rsidR="00E14602">
        <w:t>n</w:t>
      </w:r>
      <w:r w:rsidR="008862C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=(8</m:t>
        </m:r>
        <m:r>
          <w:rPr>
            <w:rFonts w:ascii="Cambria Math" w:hAnsi="Cambria Math"/>
          </w:rPr>
          <m:t>,2</m:t>
        </m:r>
        <m:r>
          <w:rPr>
            <w:rFonts w:ascii="Cambria Math" w:hAnsi="Cambria Math"/>
          </w:rPr>
          <m:t>)</m:t>
        </m:r>
      </m:oMath>
      <w:r w:rsidR="00927CD4">
        <w:t xml:space="preserve"> layout for 32Tx ports.</w:t>
      </w:r>
      <w:r w:rsidR="00B6217C">
        <w:t xml:space="preserve"> Other simulation parameters are reported in Appendix B.</w:t>
      </w:r>
    </w:p>
    <w:p w14:paraId="2B42F02B" w14:textId="024C4FD3" w:rsidR="00340822" w:rsidRDefault="00B44084" w:rsidP="00BC6158">
      <w:r>
        <w:fldChar w:fldCharType="begin"/>
      </w:r>
      <w:r>
        <w:instrText xml:space="preserve"> REF _Ref181920147 \h </w:instrText>
      </w:r>
      <w:r>
        <w:fldChar w:fldCharType="separate"/>
      </w:r>
      <w:r w:rsidR="00761C39">
        <w:t xml:space="preserve">Figure </w:t>
      </w:r>
      <w:r w:rsidR="00761C39">
        <w:rPr>
          <w:noProof/>
        </w:rPr>
        <w:t>2</w:t>
      </w:r>
      <w:r>
        <w:fldChar w:fldCharType="end"/>
      </w:r>
      <w:r>
        <w:t xml:space="preserve"> </w:t>
      </w:r>
      <w:r w:rsidR="00533238">
        <w:t xml:space="preserve">and </w:t>
      </w:r>
      <w:r w:rsidR="00533238">
        <w:fldChar w:fldCharType="begin"/>
      </w:r>
      <w:r w:rsidR="00533238">
        <w:instrText xml:space="preserve"> REF _Ref181976564 \h </w:instrText>
      </w:r>
      <w:r w:rsidR="00533238">
        <w:fldChar w:fldCharType="separate"/>
      </w:r>
      <w:r w:rsidR="00761C39">
        <w:t xml:space="preserve">Table </w:t>
      </w:r>
      <w:r w:rsidR="00761C39">
        <w:rPr>
          <w:noProof/>
        </w:rPr>
        <w:t>1</w:t>
      </w:r>
      <w:r w:rsidR="00533238">
        <w:fldChar w:fldCharType="end"/>
      </w:r>
      <w:r w:rsidR="00533238">
        <w:t xml:space="preserve"> </w:t>
      </w:r>
      <w:r>
        <w:t xml:space="preserve">show </w:t>
      </w:r>
      <w:r w:rsidR="00503427">
        <w:t>a performance comparison between Rel-15 Type-I and Scheme-A</w:t>
      </w:r>
      <w:r w:rsidR="00EC3D37">
        <w:t xml:space="preserve">/B </w:t>
      </w:r>
      <w:r w:rsidR="006B66E0">
        <w:t xml:space="preserve">for </w:t>
      </w:r>
      <w:r w:rsidR="005B780A">
        <w:t xml:space="preserve">16 and </w:t>
      </w:r>
      <w:r w:rsidR="006B66E0">
        <w:t>32 ports</w:t>
      </w:r>
      <w:r w:rsidR="0043300C">
        <w:t xml:space="preserve"> and max rank 8. </w:t>
      </w:r>
      <w:r w:rsidR="00420DB4">
        <w:t>We</w:t>
      </w:r>
      <w:r w:rsidR="00A833BE">
        <w:t xml:space="preserve"> observe that </w:t>
      </w:r>
      <w:r w:rsidR="00A43B95">
        <w:t xml:space="preserve">most of the gain for </w:t>
      </w:r>
      <w:r w:rsidR="000B046E">
        <w:t xml:space="preserve">Scheme-A </w:t>
      </w:r>
      <w:r w:rsidR="00C22DEE">
        <w:t>is achieved at higher ranks</w:t>
      </w:r>
      <w:r w:rsidR="000535A2">
        <w:t xml:space="preserve"> because of the extended </w:t>
      </w:r>
      <w:r w:rsidR="005F7D95">
        <w:t xml:space="preserve">orthogonal </w:t>
      </w:r>
      <w:r w:rsidR="000535A2">
        <w:t>candidate</w:t>
      </w:r>
      <w:r w:rsidR="00763D40">
        <w:t xml:space="preserve"> set for beam selection</w:t>
      </w:r>
      <w:r w:rsidR="00004720">
        <w:t xml:space="preserve">. </w:t>
      </w:r>
      <w:r w:rsidR="00C750F4">
        <w:t>Scheme</w:t>
      </w:r>
      <w:r w:rsidR="005C3104">
        <w:t>-B also</w:t>
      </w:r>
      <w:r w:rsidR="000535A2">
        <w:t xml:space="preserve"> </w:t>
      </w:r>
      <w:r w:rsidR="005C3104">
        <w:t>show</w:t>
      </w:r>
      <w:r w:rsidR="00E91230">
        <w:t>s</w:t>
      </w:r>
      <w:r w:rsidR="005C3104">
        <w:t xml:space="preserve"> significant </w:t>
      </w:r>
      <w:r w:rsidR="00E25A4D">
        <w:t xml:space="preserve">throughput </w:t>
      </w:r>
      <w:r w:rsidR="005C3104">
        <w:t>gain</w:t>
      </w:r>
      <w:r w:rsidR="00210438">
        <w:t xml:space="preserve">, but with </w:t>
      </w:r>
      <w:r w:rsidR="006346D2">
        <w:t xml:space="preserve">about 4 times </w:t>
      </w:r>
      <w:r w:rsidR="00D13040">
        <w:t>larger mean overhead than Rel-15 Type-I.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445073" w14:paraId="4CEA16D7" w14:textId="77777777">
        <w:trPr>
          <w:jc w:val="center"/>
        </w:trPr>
        <w:tc>
          <w:tcPr>
            <w:tcW w:w="4814" w:type="dxa"/>
            <w:vAlign w:val="center"/>
          </w:tcPr>
          <w:p w14:paraId="31566C52" w14:textId="77777777" w:rsidR="00445073" w:rsidRDefault="00445073">
            <w:pPr>
              <w:jc w:val="center"/>
            </w:pPr>
            <w:r>
              <w:rPr>
                <w:noProof/>
              </w:rPr>
              <w:drawing>
                <wp:inline distT="0" distB="0" distL="0" distR="0" wp14:anchorId="51CF3DA5" wp14:editId="102FB312">
                  <wp:extent cx="2977896" cy="2233422"/>
                  <wp:effectExtent l="0" t="0" r="0" b="0"/>
                  <wp:docPr id="2107712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12068" name="Picture 1"/>
                          <pic:cNvPicPr/>
                        </pic:nvPicPr>
                        <pic:blipFill>
                          <a:blip r:embed="rId14"/>
                          <a:stretch>
                            <a:fillRect/>
                          </a:stretch>
                        </pic:blipFill>
                        <pic:spPr>
                          <a:xfrm>
                            <a:off x="0" y="0"/>
                            <a:ext cx="2977896" cy="2233422"/>
                          </a:xfrm>
                          <a:prstGeom prst="rect">
                            <a:avLst/>
                          </a:prstGeom>
                        </pic:spPr>
                      </pic:pic>
                    </a:graphicData>
                  </a:graphic>
                </wp:inline>
              </w:drawing>
            </w:r>
          </w:p>
        </w:tc>
        <w:tc>
          <w:tcPr>
            <w:tcW w:w="4815" w:type="dxa"/>
            <w:vAlign w:val="center"/>
          </w:tcPr>
          <w:p w14:paraId="5B865EA7" w14:textId="77777777" w:rsidR="00445073" w:rsidRDefault="00445073" w:rsidP="00445073">
            <w:pPr>
              <w:keepNext/>
              <w:jc w:val="center"/>
            </w:pPr>
            <w:r>
              <w:rPr>
                <w:noProof/>
              </w:rPr>
              <w:drawing>
                <wp:inline distT="0" distB="0" distL="0" distR="0" wp14:anchorId="4DCCEF03" wp14:editId="0A132BB5">
                  <wp:extent cx="2977896" cy="2233422"/>
                  <wp:effectExtent l="0" t="0" r="0" b="0"/>
                  <wp:docPr id="1704236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36527" name="Picture 1"/>
                          <pic:cNvPicPr/>
                        </pic:nvPicPr>
                        <pic:blipFill>
                          <a:blip r:embed="rId15"/>
                          <a:stretch>
                            <a:fillRect/>
                          </a:stretch>
                        </pic:blipFill>
                        <pic:spPr>
                          <a:xfrm>
                            <a:off x="0" y="0"/>
                            <a:ext cx="2977896" cy="2233422"/>
                          </a:xfrm>
                          <a:prstGeom prst="rect">
                            <a:avLst/>
                          </a:prstGeom>
                        </pic:spPr>
                      </pic:pic>
                    </a:graphicData>
                  </a:graphic>
                </wp:inline>
              </w:drawing>
            </w:r>
          </w:p>
        </w:tc>
      </w:tr>
    </w:tbl>
    <w:p w14:paraId="3B6EB346" w14:textId="7CA33B66" w:rsidR="00B6217C" w:rsidRDefault="00445073" w:rsidP="00445073">
      <w:pPr>
        <w:pStyle w:val="Caption"/>
        <w:jc w:val="center"/>
      </w:pPr>
      <w:bookmarkStart w:id="11" w:name="_Ref181920147"/>
      <w:r>
        <w:t xml:space="preserve">Figure </w:t>
      </w:r>
      <w:r>
        <w:fldChar w:fldCharType="begin"/>
      </w:r>
      <w:r>
        <w:instrText xml:space="preserve"> SEQ Figure \* ARABIC </w:instrText>
      </w:r>
      <w:r>
        <w:fldChar w:fldCharType="separate"/>
      </w:r>
      <w:r w:rsidR="00761C39">
        <w:rPr>
          <w:noProof/>
        </w:rPr>
        <w:t>2</w:t>
      </w:r>
      <w:r>
        <w:fldChar w:fldCharType="end"/>
      </w:r>
      <w:bookmarkEnd w:id="11"/>
      <w:r>
        <w:t xml:space="preserve">. </w:t>
      </w:r>
      <w:r w:rsidR="00D07788">
        <w:t>Mean t</w:t>
      </w:r>
      <w:r w:rsidR="00530787">
        <w:t>hroughput</w:t>
      </w:r>
      <w:r w:rsidR="00777025">
        <w:t xml:space="preserve"> gain</w:t>
      </w:r>
      <w:r w:rsidR="00530787">
        <w:t xml:space="preserve"> vs </w:t>
      </w:r>
      <w:r w:rsidR="0006151F">
        <w:t xml:space="preserve">mean </w:t>
      </w:r>
      <w:r w:rsidR="00530787">
        <w:t>overhead comparison between Rel-15</w:t>
      </w:r>
      <w:r w:rsidR="0071689B">
        <w:t xml:space="preserve"> Type-I, </w:t>
      </w:r>
      <w:r w:rsidR="00530787">
        <w:t>Scheme</w:t>
      </w:r>
      <w:r w:rsidR="0071689B">
        <w:t>-A</w:t>
      </w:r>
      <w:r w:rsidR="00530787">
        <w:t xml:space="preserve"> and </w:t>
      </w:r>
      <w:r w:rsidR="0071689B">
        <w:t>Scheme-B</w:t>
      </w:r>
      <w:r w:rsidR="00530787">
        <w:t xml:space="preserve"> for </w:t>
      </w:r>
      <w:r w:rsidR="0071689B">
        <w:t>maximum rank 8</w:t>
      </w:r>
      <w:r w:rsidR="00530787">
        <w:t>, with</w:t>
      </w:r>
      <w:r w:rsidR="00777025">
        <w:t xml:space="preserve"> 16 (4x2) and</w:t>
      </w:r>
      <w:r w:rsidR="00530787">
        <w:t xml:space="preserve"> </w:t>
      </w:r>
      <w:r w:rsidR="00B3215D">
        <w:t>32</w:t>
      </w:r>
      <w:r w:rsidR="00777025">
        <w:t xml:space="preserve"> (8x2)</w:t>
      </w:r>
      <w:r w:rsidR="00530787">
        <w:t xml:space="preserve"> ports</w:t>
      </w:r>
      <w:r w:rsidR="00777025">
        <w:t>.</w:t>
      </w:r>
    </w:p>
    <w:p w14:paraId="25AD7CC7" w14:textId="77777777" w:rsidR="00E25A4D" w:rsidRDefault="00E25A4D" w:rsidP="006A19E8">
      <w:pPr>
        <w:rPr>
          <w:lang w:val="en-US"/>
        </w:rPr>
      </w:pPr>
    </w:p>
    <w:p w14:paraId="732D560B" w14:textId="3A66FE41" w:rsidR="0025335C" w:rsidRDefault="0025335C" w:rsidP="0025335C">
      <w:pPr>
        <w:pStyle w:val="Caption"/>
        <w:keepNext/>
        <w:jc w:val="center"/>
      </w:pPr>
      <w:bookmarkStart w:id="12" w:name="_Ref181976564"/>
      <w:r>
        <w:t xml:space="preserve">Table </w:t>
      </w:r>
      <w:r>
        <w:fldChar w:fldCharType="begin"/>
      </w:r>
      <w:r>
        <w:instrText xml:space="preserve"> SEQ Table \* ARABIC </w:instrText>
      </w:r>
      <w:r>
        <w:fldChar w:fldCharType="separate"/>
      </w:r>
      <w:r w:rsidR="00761C39">
        <w:rPr>
          <w:noProof/>
        </w:rPr>
        <w:t>1</w:t>
      </w:r>
      <w:r>
        <w:fldChar w:fldCharType="end"/>
      </w:r>
      <w:bookmarkEnd w:id="12"/>
      <w: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55"/>
        <w:gridCol w:w="989"/>
        <w:gridCol w:w="1011"/>
        <w:gridCol w:w="989"/>
        <w:gridCol w:w="1011"/>
      </w:tblGrid>
      <w:tr w:rsidR="00544F8D" w:rsidRPr="00D67891" w14:paraId="0D3958D1" w14:textId="77777777">
        <w:trPr>
          <w:trHeight w:val="300"/>
          <w:jc w:val="center"/>
        </w:trPr>
        <w:tc>
          <w:tcPr>
            <w:tcW w:w="0" w:type="auto"/>
            <w:vMerge w:val="restart"/>
            <w:shd w:val="clear" w:color="auto" w:fill="auto"/>
            <w:noWrap/>
            <w:vAlign w:val="center"/>
          </w:tcPr>
          <w:p w14:paraId="6F4D3938" w14:textId="77777777" w:rsidR="00544F8D" w:rsidRPr="00D67891" w:rsidRDefault="00544F8D">
            <w:pPr>
              <w:spacing w:after="0"/>
              <w:jc w:val="center"/>
              <w:rPr>
                <w:lang w:val="en-US"/>
              </w:rPr>
            </w:pPr>
          </w:p>
        </w:tc>
        <w:tc>
          <w:tcPr>
            <w:tcW w:w="0" w:type="auto"/>
            <w:gridSpan w:val="4"/>
          </w:tcPr>
          <w:p w14:paraId="6CE1F709" w14:textId="02499FB7" w:rsidR="00544F8D" w:rsidRPr="00D67891" w:rsidRDefault="00544F8D">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(16x2)</w:t>
            </w:r>
          </w:p>
        </w:tc>
      </w:tr>
      <w:tr w:rsidR="00544F8D" w:rsidRPr="00D67891" w14:paraId="42324EAB" w14:textId="77777777">
        <w:trPr>
          <w:trHeight w:val="300"/>
          <w:jc w:val="center"/>
        </w:trPr>
        <w:tc>
          <w:tcPr>
            <w:tcW w:w="0" w:type="auto"/>
            <w:vMerge/>
            <w:shd w:val="clear" w:color="auto" w:fill="auto"/>
            <w:noWrap/>
            <w:vAlign w:val="center"/>
          </w:tcPr>
          <w:p w14:paraId="64EE97ED" w14:textId="77777777" w:rsidR="00544F8D" w:rsidRPr="00D67891" w:rsidRDefault="00544F8D">
            <w:pPr>
              <w:spacing w:after="0"/>
              <w:jc w:val="center"/>
              <w:rPr>
                <w:lang w:val="en-US"/>
              </w:rPr>
            </w:pPr>
          </w:p>
        </w:tc>
        <w:tc>
          <w:tcPr>
            <w:tcW w:w="0" w:type="auto"/>
            <w:gridSpan w:val="4"/>
          </w:tcPr>
          <w:p w14:paraId="55DAB3D8" w14:textId="7D6873BE" w:rsidR="00544F8D" w:rsidRPr="00D67891" w:rsidRDefault="00544F8D">
            <w:pPr>
              <w:spacing w:after="0"/>
              <w:jc w:val="center"/>
              <w:rPr>
                <w:lang w:val="de-DE"/>
              </w:rPr>
            </w:pPr>
            <w:r>
              <w:rPr>
                <w:lang w:val="de-DE"/>
              </w:rPr>
              <w:t>Max-rank 8, 30% RU</w:t>
            </w:r>
          </w:p>
        </w:tc>
      </w:tr>
      <w:tr w:rsidR="00544F8D" w:rsidRPr="00D67891" w14:paraId="2658C03C" w14:textId="77777777">
        <w:trPr>
          <w:trHeight w:val="300"/>
          <w:jc w:val="center"/>
        </w:trPr>
        <w:tc>
          <w:tcPr>
            <w:tcW w:w="0" w:type="auto"/>
            <w:vMerge/>
            <w:vAlign w:val="center"/>
          </w:tcPr>
          <w:p w14:paraId="240AD6A5" w14:textId="77777777" w:rsidR="00544F8D" w:rsidRPr="00D67891" w:rsidRDefault="00544F8D">
            <w:pPr>
              <w:spacing w:after="0"/>
              <w:jc w:val="center"/>
              <w:rPr>
                <w:lang w:val="de-DE"/>
              </w:rPr>
            </w:pPr>
          </w:p>
        </w:tc>
        <w:tc>
          <w:tcPr>
            <w:tcW w:w="0" w:type="auto"/>
            <w:gridSpan w:val="2"/>
            <w:vAlign w:val="center"/>
          </w:tcPr>
          <w:p w14:paraId="4ED94A49" w14:textId="37DB13DC" w:rsidR="00544F8D" w:rsidRPr="00D67891" w:rsidRDefault="00544F8D">
            <w:pPr>
              <w:spacing w:after="0"/>
              <w:jc w:val="center"/>
              <w:rPr>
                <w:lang w:val="de-DE"/>
              </w:rPr>
            </w:pPr>
            <w:r>
              <w:rPr>
                <w:lang w:val="de-DE"/>
              </w:rPr>
              <w:t xml:space="preserve">16 </w:t>
            </w:r>
            <w:proofErr w:type="spellStart"/>
            <w:r>
              <w:rPr>
                <w:lang w:val="de-DE"/>
              </w:rPr>
              <w:t>ports</w:t>
            </w:r>
            <w:proofErr w:type="spellEnd"/>
            <w:r>
              <w:rPr>
                <w:lang w:val="de-DE"/>
              </w:rPr>
              <w:t xml:space="preserve"> (4x2)</w:t>
            </w:r>
          </w:p>
        </w:tc>
        <w:tc>
          <w:tcPr>
            <w:tcW w:w="0" w:type="auto"/>
            <w:gridSpan w:val="2"/>
            <w:vAlign w:val="center"/>
          </w:tcPr>
          <w:p w14:paraId="0103C444" w14:textId="57979EAD" w:rsidR="00544F8D" w:rsidRPr="00D67891" w:rsidRDefault="00544F8D">
            <w:pPr>
              <w:spacing w:after="0"/>
              <w:jc w:val="center"/>
              <w:rPr>
                <w:lang w:val="de-DE"/>
              </w:rPr>
            </w:pPr>
            <w:r>
              <w:rPr>
                <w:lang w:val="de-DE"/>
              </w:rPr>
              <w:t xml:space="preserve">32 </w:t>
            </w:r>
            <w:proofErr w:type="spellStart"/>
            <w:r>
              <w:rPr>
                <w:lang w:val="de-DE"/>
              </w:rPr>
              <w:t>ports</w:t>
            </w:r>
            <w:proofErr w:type="spellEnd"/>
            <w:r>
              <w:rPr>
                <w:lang w:val="de-DE"/>
              </w:rPr>
              <w:t xml:space="preserve"> (8x2)</w:t>
            </w:r>
          </w:p>
        </w:tc>
      </w:tr>
      <w:tr w:rsidR="00544F8D" w:rsidRPr="00D67891" w14:paraId="6FA79BD0" w14:textId="77777777">
        <w:trPr>
          <w:trHeight w:val="300"/>
          <w:jc w:val="center"/>
        </w:trPr>
        <w:tc>
          <w:tcPr>
            <w:tcW w:w="0" w:type="auto"/>
            <w:shd w:val="clear" w:color="auto" w:fill="auto"/>
            <w:noWrap/>
            <w:vAlign w:val="center"/>
          </w:tcPr>
          <w:p w14:paraId="35D37595" w14:textId="77777777" w:rsidR="00544F8D" w:rsidRPr="00D67891" w:rsidRDefault="00544F8D">
            <w:pPr>
              <w:spacing w:after="0"/>
              <w:jc w:val="center"/>
              <w:rPr>
                <w:lang w:val="de-DE"/>
              </w:rPr>
            </w:pPr>
          </w:p>
        </w:tc>
        <w:tc>
          <w:tcPr>
            <w:tcW w:w="0" w:type="auto"/>
          </w:tcPr>
          <w:p w14:paraId="0C52A4AB" w14:textId="77777777" w:rsidR="00544F8D" w:rsidRDefault="00544F8D">
            <w:pPr>
              <w:spacing w:after="0"/>
              <w:jc w:val="center"/>
              <w:rPr>
                <w:lang w:val="de-DE"/>
              </w:rPr>
            </w:pPr>
            <w:proofErr w:type="spellStart"/>
            <w:r>
              <w:rPr>
                <w:lang w:val="de-DE"/>
              </w:rPr>
              <w:t>Mean</w:t>
            </w:r>
            <w:proofErr w:type="spellEnd"/>
          </w:p>
          <w:p w14:paraId="5983F382" w14:textId="77777777" w:rsidR="00544F8D" w:rsidRPr="00D67891" w:rsidRDefault="00544F8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7B8A1CF" w14:textId="77777777" w:rsidR="0006396E" w:rsidRDefault="00077DBB">
            <w:pPr>
              <w:spacing w:after="0"/>
              <w:jc w:val="center"/>
              <w:rPr>
                <w:lang w:val="de-DE"/>
              </w:rPr>
            </w:pPr>
            <w:proofErr w:type="spellStart"/>
            <w:r>
              <w:rPr>
                <w:lang w:val="de-DE"/>
              </w:rPr>
              <w:t>Mean</w:t>
            </w:r>
            <w:proofErr w:type="spellEnd"/>
            <w:r>
              <w:rPr>
                <w:lang w:val="de-DE"/>
              </w:rPr>
              <w:t xml:space="preserve"> OH</w:t>
            </w:r>
          </w:p>
          <w:p w14:paraId="46441D9E" w14:textId="5910772B" w:rsidR="00544F8D" w:rsidRPr="00D67891" w:rsidRDefault="0006396E">
            <w:pPr>
              <w:spacing w:after="0"/>
              <w:jc w:val="center"/>
              <w:rPr>
                <w:lang w:val="de-DE"/>
              </w:rPr>
            </w:pPr>
            <w:r>
              <w:rPr>
                <w:lang w:val="de-DE"/>
              </w:rPr>
              <w:t>(</w:t>
            </w:r>
            <w:proofErr w:type="spellStart"/>
            <w:r>
              <w:rPr>
                <w:lang w:val="de-DE"/>
              </w:rPr>
              <w:t>bits</w:t>
            </w:r>
            <w:proofErr w:type="spellEnd"/>
            <w:r>
              <w:rPr>
                <w:lang w:val="de-DE"/>
              </w:rPr>
              <w:t>)</w:t>
            </w:r>
          </w:p>
        </w:tc>
        <w:tc>
          <w:tcPr>
            <w:tcW w:w="0" w:type="auto"/>
          </w:tcPr>
          <w:p w14:paraId="3E3119D4" w14:textId="77777777" w:rsidR="00544F8D" w:rsidRDefault="00544F8D">
            <w:pPr>
              <w:spacing w:after="0"/>
              <w:jc w:val="center"/>
              <w:rPr>
                <w:lang w:val="de-DE"/>
              </w:rPr>
            </w:pPr>
            <w:proofErr w:type="spellStart"/>
            <w:r>
              <w:rPr>
                <w:lang w:val="de-DE"/>
              </w:rPr>
              <w:t>Mean</w:t>
            </w:r>
            <w:proofErr w:type="spellEnd"/>
          </w:p>
          <w:p w14:paraId="7CB8B546" w14:textId="77777777" w:rsidR="00544F8D" w:rsidRPr="00D67891" w:rsidRDefault="00544F8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5B6A379D" w14:textId="77777777" w:rsidR="00544F8D" w:rsidRDefault="00AC360D">
            <w:pPr>
              <w:spacing w:after="0"/>
              <w:jc w:val="center"/>
              <w:rPr>
                <w:lang w:val="de-DE"/>
              </w:rPr>
            </w:pPr>
            <w:proofErr w:type="spellStart"/>
            <w:r>
              <w:rPr>
                <w:lang w:val="de-DE"/>
              </w:rPr>
              <w:t>Mean</w:t>
            </w:r>
            <w:proofErr w:type="spellEnd"/>
            <w:r>
              <w:rPr>
                <w:lang w:val="de-DE"/>
              </w:rPr>
              <w:t xml:space="preserve"> OH</w:t>
            </w:r>
          </w:p>
          <w:p w14:paraId="46414ED2" w14:textId="200A4896" w:rsidR="0006396E" w:rsidRPr="00D67891" w:rsidRDefault="0006396E">
            <w:pPr>
              <w:spacing w:after="0"/>
              <w:jc w:val="center"/>
              <w:rPr>
                <w:lang w:val="de-DE"/>
              </w:rPr>
            </w:pPr>
            <w:r>
              <w:rPr>
                <w:lang w:val="de-DE"/>
              </w:rPr>
              <w:t>(</w:t>
            </w:r>
            <w:proofErr w:type="spellStart"/>
            <w:r>
              <w:rPr>
                <w:lang w:val="de-DE"/>
              </w:rPr>
              <w:t>bits</w:t>
            </w:r>
            <w:proofErr w:type="spellEnd"/>
            <w:r>
              <w:rPr>
                <w:lang w:val="de-DE"/>
              </w:rPr>
              <w:t>)</w:t>
            </w:r>
          </w:p>
        </w:tc>
      </w:tr>
      <w:tr w:rsidR="00544F8D" w:rsidRPr="00D67891" w14:paraId="16A7A2E5" w14:textId="77777777">
        <w:trPr>
          <w:trHeight w:val="300"/>
          <w:jc w:val="center"/>
        </w:trPr>
        <w:tc>
          <w:tcPr>
            <w:tcW w:w="0" w:type="auto"/>
            <w:shd w:val="clear" w:color="auto" w:fill="auto"/>
            <w:noWrap/>
            <w:vAlign w:val="center"/>
          </w:tcPr>
          <w:p w14:paraId="0C117779" w14:textId="44D01CAF" w:rsidR="00544F8D" w:rsidRPr="00D67891" w:rsidRDefault="00AC360D">
            <w:pPr>
              <w:spacing w:after="0"/>
              <w:jc w:val="center"/>
              <w:rPr>
                <w:lang w:val="de-DE"/>
              </w:rPr>
            </w:pPr>
            <w:r>
              <w:rPr>
                <w:lang w:val="de-DE"/>
              </w:rPr>
              <w:t>Rel-15 Type-I</w:t>
            </w:r>
          </w:p>
        </w:tc>
        <w:tc>
          <w:tcPr>
            <w:tcW w:w="0" w:type="auto"/>
            <w:vAlign w:val="center"/>
          </w:tcPr>
          <w:p w14:paraId="152108A5" w14:textId="77777777" w:rsidR="00544F8D" w:rsidRPr="00D67891" w:rsidRDefault="00544F8D">
            <w:pPr>
              <w:spacing w:after="0"/>
              <w:jc w:val="center"/>
              <w:rPr>
                <w:lang w:val="de-DE"/>
              </w:rPr>
            </w:pPr>
            <w:r>
              <w:rPr>
                <w:lang w:val="de-DE"/>
              </w:rPr>
              <w:t>100%</w:t>
            </w:r>
          </w:p>
        </w:tc>
        <w:tc>
          <w:tcPr>
            <w:tcW w:w="0" w:type="auto"/>
            <w:shd w:val="clear" w:color="auto" w:fill="auto"/>
            <w:noWrap/>
            <w:vAlign w:val="center"/>
          </w:tcPr>
          <w:p w14:paraId="2F555173" w14:textId="4FB2A2B4" w:rsidR="00544F8D" w:rsidRPr="00D67891" w:rsidRDefault="007F7E10">
            <w:pPr>
              <w:spacing w:after="0"/>
              <w:jc w:val="center"/>
              <w:rPr>
                <w:lang w:val="de-DE"/>
              </w:rPr>
            </w:pPr>
            <w:r>
              <w:rPr>
                <w:lang w:val="de-DE"/>
              </w:rPr>
              <w:t>21</w:t>
            </w:r>
          </w:p>
        </w:tc>
        <w:tc>
          <w:tcPr>
            <w:tcW w:w="0" w:type="auto"/>
            <w:vAlign w:val="center"/>
          </w:tcPr>
          <w:p w14:paraId="77226265" w14:textId="77777777" w:rsidR="00544F8D" w:rsidRPr="00D67891" w:rsidRDefault="00544F8D">
            <w:pPr>
              <w:spacing w:after="0"/>
              <w:jc w:val="center"/>
              <w:rPr>
                <w:lang w:val="de-DE"/>
              </w:rPr>
            </w:pPr>
            <w:r>
              <w:rPr>
                <w:lang w:val="de-DE"/>
              </w:rPr>
              <w:t>100%</w:t>
            </w:r>
          </w:p>
        </w:tc>
        <w:tc>
          <w:tcPr>
            <w:tcW w:w="0" w:type="auto"/>
            <w:shd w:val="clear" w:color="auto" w:fill="auto"/>
            <w:noWrap/>
            <w:vAlign w:val="center"/>
          </w:tcPr>
          <w:p w14:paraId="7D25B0AD" w14:textId="7115B6DC" w:rsidR="00544F8D" w:rsidRPr="00D67891" w:rsidRDefault="00A10FC1">
            <w:pPr>
              <w:spacing w:after="0"/>
              <w:jc w:val="center"/>
              <w:rPr>
                <w:lang w:val="de-DE"/>
              </w:rPr>
            </w:pPr>
            <w:r>
              <w:rPr>
                <w:lang w:val="de-DE"/>
              </w:rPr>
              <w:t>21</w:t>
            </w:r>
          </w:p>
        </w:tc>
      </w:tr>
      <w:tr w:rsidR="00544F8D" w:rsidRPr="00D67891" w14:paraId="1F281549" w14:textId="77777777">
        <w:trPr>
          <w:trHeight w:val="300"/>
          <w:jc w:val="center"/>
        </w:trPr>
        <w:tc>
          <w:tcPr>
            <w:tcW w:w="0" w:type="auto"/>
            <w:shd w:val="clear" w:color="auto" w:fill="auto"/>
            <w:noWrap/>
            <w:vAlign w:val="center"/>
          </w:tcPr>
          <w:p w14:paraId="3820F166" w14:textId="69E29E20" w:rsidR="00544F8D" w:rsidRPr="00D67891" w:rsidRDefault="00544F8D">
            <w:pPr>
              <w:spacing w:after="0"/>
              <w:jc w:val="center"/>
              <w:rPr>
                <w:lang w:val="de-DE"/>
              </w:rPr>
            </w:pPr>
            <w:proofErr w:type="spellStart"/>
            <w:r w:rsidRPr="00D67891">
              <w:rPr>
                <w:lang w:val="de-DE"/>
              </w:rPr>
              <w:t>Sc</w:t>
            </w:r>
            <w:r w:rsidR="004B49E9">
              <w:rPr>
                <w:lang w:val="de-DE"/>
              </w:rPr>
              <w:t>heme</w:t>
            </w:r>
            <w:proofErr w:type="spellEnd"/>
            <w:r w:rsidR="004B49E9">
              <w:rPr>
                <w:lang w:val="de-DE"/>
              </w:rPr>
              <w:t>-A</w:t>
            </w:r>
          </w:p>
        </w:tc>
        <w:tc>
          <w:tcPr>
            <w:tcW w:w="0" w:type="auto"/>
            <w:vAlign w:val="center"/>
          </w:tcPr>
          <w:p w14:paraId="62D9B776" w14:textId="5109E15D" w:rsidR="00544F8D" w:rsidRPr="00D67891" w:rsidRDefault="009951B1">
            <w:pPr>
              <w:spacing w:after="0"/>
              <w:jc w:val="center"/>
              <w:rPr>
                <w:lang w:val="de-DE"/>
              </w:rPr>
            </w:pPr>
            <w:r>
              <w:t>105.6</w:t>
            </w:r>
            <w:r w:rsidR="00480E64">
              <w:t>5</w:t>
            </w:r>
            <w:r w:rsidR="00544F8D" w:rsidRPr="00117458">
              <w:t>%</w:t>
            </w:r>
          </w:p>
        </w:tc>
        <w:tc>
          <w:tcPr>
            <w:tcW w:w="0" w:type="auto"/>
            <w:shd w:val="clear" w:color="auto" w:fill="auto"/>
            <w:noWrap/>
            <w:vAlign w:val="center"/>
          </w:tcPr>
          <w:p w14:paraId="556008CD" w14:textId="413AAC7A" w:rsidR="00544F8D" w:rsidRPr="00D67891" w:rsidRDefault="00D07DF9">
            <w:pPr>
              <w:spacing w:after="0"/>
              <w:jc w:val="center"/>
              <w:rPr>
                <w:lang w:val="de-DE"/>
              </w:rPr>
            </w:pPr>
            <w:r>
              <w:t>26</w:t>
            </w:r>
          </w:p>
        </w:tc>
        <w:tc>
          <w:tcPr>
            <w:tcW w:w="0" w:type="auto"/>
            <w:vAlign w:val="center"/>
          </w:tcPr>
          <w:p w14:paraId="603E7FA1" w14:textId="4E1B0D26" w:rsidR="00544F8D" w:rsidRPr="00D67891" w:rsidRDefault="00687F05">
            <w:pPr>
              <w:spacing w:after="0"/>
              <w:jc w:val="center"/>
              <w:rPr>
                <w:lang w:val="de-DE"/>
              </w:rPr>
            </w:pPr>
            <w:r>
              <w:rPr>
                <w:lang w:val="de-DE"/>
              </w:rPr>
              <w:t>105.86%</w:t>
            </w:r>
          </w:p>
        </w:tc>
        <w:tc>
          <w:tcPr>
            <w:tcW w:w="0" w:type="auto"/>
            <w:shd w:val="clear" w:color="auto" w:fill="auto"/>
            <w:noWrap/>
            <w:vAlign w:val="center"/>
          </w:tcPr>
          <w:p w14:paraId="58B3378D" w14:textId="4DAE15CB" w:rsidR="00544F8D" w:rsidRPr="00D67891" w:rsidRDefault="00FC1675">
            <w:pPr>
              <w:spacing w:after="0"/>
              <w:jc w:val="center"/>
              <w:rPr>
                <w:lang w:val="de-DE"/>
              </w:rPr>
            </w:pPr>
            <w:r>
              <w:rPr>
                <w:lang w:val="de-DE"/>
              </w:rPr>
              <w:t>31</w:t>
            </w:r>
          </w:p>
        </w:tc>
      </w:tr>
      <w:tr w:rsidR="00544F8D" w:rsidRPr="00D67891" w14:paraId="478BF87F" w14:textId="77777777">
        <w:trPr>
          <w:trHeight w:val="46"/>
          <w:jc w:val="center"/>
        </w:trPr>
        <w:tc>
          <w:tcPr>
            <w:tcW w:w="0" w:type="auto"/>
            <w:shd w:val="clear" w:color="auto" w:fill="auto"/>
            <w:noWrap/>
            <w:vAlign w:val="center"/>
          </w:tcPr>
          <w:p w14:paraId="5FC55F4B" w14:textId="49304950" w:rsidR="00544F8D" w:rsidRPr="00D67891" w:rsidRDefault="00544F8D">
            <w:pPr>
              <w:spacing w:after="0"/>
              <w:jc w:val="center"/>
              <w:rPr>
                <w:lang w:val="de-DE"/>
              </w:rPr>
            </w:pPr>
            <w:proofErr w:type="spellStart"/>
            <w:r w:rsidRPr="00D67891">
              <w:rPr>
                <w:lang w:val="de-DE"/>
              </w:rPr>
              <w:t>Scheme</w:t>
            </w:r>
            <w:proofErr w:type="spellEnd"/>
            <w:r w:rsidR="004B49E9">
              <w:rPr>
                <w:lang w:val="de-DE"/>
              </w:rPr>
              <w:t>-B</w:t>
            </w:r>
          </w:p>
        </w:tc>
        <w:tc>
          <w:tcPr>
            <w:tcW w:w="0" w:type="auto"/>
            <w:vAlign w:val="center"/>
          </w:tcPr>
          <w:p w14:paraId="31E5BA6B" w14:textId="4A41E2E9" w:rsidR="00544F8D" w:rsidRPr="00D67891" w:rsidRDefault="005D346D">
            <w:pPr>
              <w:spacing w:after="0"/>
              <w:jc w:val="center"/>
              <w:rPr>
                <w:lang w:val="de-DE"/>
              </w:rPr>
            </w:pPr>
            <w:r>
              <w:t>111.56</w:t>
            </w:r>
            <w:r w:rsidR="00544F8D" w:rsidRPr="00A9216E">
              <w:t>%</w:t>
            </w:r>
          </w:p>
        </w:tc>
        <w:tc>
          <w:tcPr>
            <w:tcW w:w="0" w:type="auto"/>
            <w:shd w:val="clear" w:color="auto" w:fill="auto"/>
            <w:noWrap/>
            <w:vAlign w:val="center"/>
          </w:tcPr>
          <w:p w14:paraId="552D67E5" w14:textId="5B0DD731" w:rsidR="00544F8D" w:rsidRPr="00D67891" w:rsidRDefault="00F9616E">
            <w:pPr>
              <w:spacing w:after="0"/>
              <w:jc w:val="center"/>
              <w:rPr>
                <w:lang w:val="de-DE"/>
              </w:rPr>
            </w:pPr>
            <w:r>
              <w:t>79</w:t>
            </w:r>
          </w:p>
        </w:tc>
        <w:tc>
          <w:tcPr>
            <w:tcW w:w="0" w:type="auto"/>
            <w:vAlign w:val="center"/>
          </w:tcPr>
          <w:p w14:paraId="49F7B1E7" w14:textId="64DE9165" w:rsidR="00544F8D" w:rsidRPr="00D67891" w:rsidRDefault="00DE1327">
            <w:pPr>
              <w:spacing w:after="0"/>
              <w:jc w:val="center"/>
              <w:rPr>
                <w:lang w:val="de-DE"/>
              </w:rPr>
            </w:pPr>
            <w:r>
              <w:rPr>
                <w:lang w:val="de-DE"/>
              </w:rPr>
              <w:t>112.93%</w:t>
            </w:r>
          </w:p>
        </w:tc>
        <w:tc>
          <w:tcPr>
            <w:tcW w:w="0" w:type="auto"/>
            <w:shd w:val="clear" w:color="auto" w:fill="auto"/>
            <w:noWrap/>
            <w:vAlign w:val="center"/>
          </w:tcPr>
          <w:p w14:paraId="3E70D278" w14:textId="0895AF0F" w:rsidR="00544F8D" w:rsidRPr="00D67891" w:rsidRDefault="00730EF6">
            <w:pPr>
              <w:spacing w:after="0"/>
              <w:jc w:val="center"/>
              <w:rPr>
                <w:lang w:val="de-DE"/>
              </w:rPr>
            </w:pPr>
            <w:r>
              <w:rPr>
                <w:lang w:val="de-DE"/>
              </w:rPr>
              <w:t>80</w:t>
            </w:r>
          </w:p>
        </w:tc>
      </w:tr>
    </w:tbl>
    <w:p w14:paraId="1F147806" w14:textId="77777777" w:rsidR="004C2AA7" w:rsidRDefault="004C2AA7" w:rsidP="006A19E8">
      <w:pPr>
        <w:rPr>
          <w:lang w:val="en-US"/>
        </w:rPr>
      </w:pPr>
    </w:p>
    <w:p w14:paraId="7121C5CA" w14:textId="77777777" w:rsidR="004C2AA7" w:rsidRDefault="004C2AA7" w:rsidP="006A19E8">
      <w:pPr>
        <w:rPr>
          <w:lang w:val="en-US"/>
        </w:rPr>
      </w:pPr>
    </w:p>
    <w:p w14:paraId="473521BA" w14:textId="36531E24" w:rsidR="009F54F3" w:rsidRDefault="009F54F3" w:rsidP="004427E0">
      <w:pPr>
        <w:pStyle w:val="ListParagraph"/>
        <w:numPr>
          <w:ilvl w:val="0"/>
          <w:numId w:val="43"/>
        </w:numPr>
        <w:spacing w:after="180"/>
        <w:ind w:left="1559" w:hanging="357"/>
        <w:contextualSpacing w:val="0"/>
        <w:rPr>
          <w:b/>
          <w:bCs/>
          <w:lang w:val="en-US"/>
        </w:rPr>
      </w:pPr>
      <w:bookmarkStart w:id="13" w:name="_Ref181986269"/>
      <w:r w:rsidRPr="00F31501">
        <w:rPr>
          <w:b/>
          <w:bCs/>
          <w:lang w:val="en-US"/>
        </w:rPr>
        <w:t xml:space="preserve">For </w:t>
      </w:r>
      <w:r w:rsidR="00A20F47">
        <w:rPr>
          <w:b/>
          <w:bCs/>
          <w:lang w:val="en-US"/>
        </w:rPr>
        <w:t>16</w:t>
      </w:r>
      <w:r w:rsidRPr="00F31501">
        <w:rPr>
          <w:b/>
          <w:bCs/>
          <w:lang w:val="en-US"/>
        </w:rPr>
        <w:t xml:space="preserve"> ports, Scheme-A shows about </w:t>
      </w:r>
      <w:r w:rsidR="00241D19">
        <w:rPr>
          <w:b/>
          <w:bCs/>
          <w:lang w:val="en-US"/>
        </w:rPr>
        <w:t>5.</w:t>
      </w:r>
      <w:r w:rsidRPr="00F31501">
        <w:rPr>
          <w:b/>
          <w:bCs/>
          <w:lang w:val="en-US"/>
        </w:rPr>
        <w:t xml:space="preserve">6% mean throughput gain over Rel-15 Type-I with </w:t>
      </w:r>
      <w:r w:rsidR="00BC3100">
        <w:rPr>
          <w:b/>
          <w:bCs/>
          <w:lang w:val="en-US"/>
        </w:rPr>
        <w:t xml:space="preserve">about </w:t>
      </w:r>
      <w:r w:rsidR="008E3E6A">
        <w:rPr>
          <w:b/>
          <w:bCs/>
          <w:lang w:val="en-US"/>
        </w:rPr>
        <w:t>5 bits</w:t>
      </w:r>
      <w:r w:rsidRPr="00F31501">
        <w:rPr>
          <w:b/>
          <w:bCs/>
          <w:lang w:val="en-US"/>
        </w:rPr>
        <w:t xml:space="preserve"> increase in mean overhead. Scheme-B shows about 1</w:t>
      </w:r>
      <w:r w:rsidR="00127AAB">
        <w:rPr>
          <w:b/>
          <w:bCs/>
          <w:lang w:val="en-US"/>
        </w:rPr>
        <w:t>1</w:t>
      </w:r>
      <w:r w:rsidR="00A63064">
        <w:rPr>
          <w:b/>
          <w:bCs/>
          <w:lang w:val="en-US"/>
        </w:rPr>
        <w:t>.5</w:t>
      </w:r>
      <w:r w:rsidRPr="00F31501">
        <w:rPr>
          <w:b/>
          <w:bCs/>
          <w:lang w:val="en-US"/>
        </w:rPr>
        <w:t>% mean throughput gain over Rel-15 Type-I with about 5</w:t>
      </w:r>
      <w:r w:rsidR="001D57B4">
        <w:rPr>
          <w:b/>
          <w:bCs/>
          <w:lang w:val="en-US"/>
        </w:rPr>
        <w:t>8</w:t>
      </w:r>
      <w:r w:rsidRPr="00F31501">
        <w:rPr>
          <w:b/>
          <w:bCs/>
          <w:lang w:val="en-US"/>
        </w:rPr>
        <w:t xml:space="preserve"> bits</w:t>
      </w:r>
      <w:r w:rsidR="009568AE">
        <w:rPr>
          <w:b/>
          <w:bCs/>
          <w:lang w:val="en-US"/>
        </w:rPr>
        <w:t xml:space="preserve"> increase</w:t>
      </w:r>
      <w:r w:rsidRPr="00F31501">
        <w:rPr>
          <w:b/>
          <w:bCs/>
          <w:lang w:val="en-US"/>
        </w:rPr>
        <w:t xml:space="preserve"> in mean overhead.</w:t>
      </w:r>
      <w:bookmarkEnd w:id="13"/>
    </w:p>
    <w:p w14:paraId="641B238B" w14:textId="0D61720E" w:rsidR="00CF0322" w:rsidRDefault="004C3329" w:rsidP="004427E0">
      <w:pPr>
        <w:pStyle w:val="ListParagraph"/>
        <w:numPr>
          <w:ilvl w:val="0"/>
          <w:numId w:val="43"/>
        </w:numPr>
        <w:spacing w:after="180"/>
        <w:ind w:left="1559" w:hanging="357"/>
        <w:contextualSpacing w:val="0"/>
        <w:rPr>
          <w:b/>
          <w:bCs/>
          <w:lang w:val="en-US"/>
        </w:rPr>
      </w:pPr>
      <w:bookmarkStart w:id="14" w:name="_Ref181986281"/>
      <w:r w:rsidRPr="00F31501">
        <w:rPr>
          <w:b/>
          <w:bCs/>
          <w:lang w:val="en-US"/>
        </w:rPr>
        <w:t xml:space="preserve">For 32 ports, </w:t>
      </w:r>
      <w:r w:rsidR="00C11D12" w:rsidRPr="00F31501">
        <w:rPr>
          <w:b/>
          <w:bCs/>
          <w:lang w:val="en-US"/>
        </w:rPr>
        <w:t>Scheme-A</w:t>
      </w:r>
      <w:r w:rsidR="00F76439" w:rsidRPr="00F31501">
        <w:rPr>
          <w:b/>
          <w:bCs/>
          <w:lang w:val="en-US"/>
        </w:rPr>
        <w:t xml:space="preserve"> </w:t>
      </w:r>
      <w:r w:rsidR="00C11D12" w:rsidRPr="00F31501">
        <w:rPr>
          <w:b/>
          <w:bCs/>
          <w:lang w:val="en-US"/>
        </w:rPr>
        <w:t xml:space="preserve">shows </w:t>
      </w:r>
      <w:r w:rsidR="008315C9" w:rsidRPr="00F31501">
        <w:rPr>
          <w:b/>
          <w:bCs/>
          <w:lang w:val="en-US"/>
        </w:rPr>
        <w:t xml:space="preserve">about 6% </w:t>
      </w:r>
      <w:r w:rsidRPr="00F31501">
        <w:rPr>
          <w:b/>
          <w:bCs/>
          <w:lang w:val="en-US"/>
        </w:rPr>
        <w:t xml:space="preserve">mean </w:t>
      </w:r>
      <w:r w:rsidR="008315C9" w:rsidRPr="00F31501">
        <w:rPr>
          <w:b/>
          <w:bCs/>
          <w:lang w:val="en-US"/>
        </w:rPr>
        <w:t xml:space="preserve">throughput gain over Rel-15 Type-I </w:t>
      </w:r>
      <w:r w:rsidRPr="00F31501">
        <w:rPr>
          <w:b/>
          <w:bCs/>
          <w:lang w:val="en-US"/>
        </w:rPr>
        <w:t xml:space="preserve">with </w:t>
      </w:r>
      <w:r w:rsidR="006F694A" w:rsidRPr="00F31501">
        <w:rPr>
          <w:b/>
          <w:bCs/>
          <w:lang w:val="en-US"/>
        </w:rPr>
        <w:t xml:space="preserve">about </w:t>
      </w:r>
      <w:r w:rsidR="00FC1675">
        <w:rPr>
          <w:b/>
          <w:bCs/>
          <w:lang w:val="en-US"/>
        </w:rPr>
        <w:t>10</w:t>
      </w:r>
      <w:r w:rsidR="009568AE">
        <w:rPr>
          <w:b/>
          <w:bCs/>
          <w:lang w:val="en-US"/>
        </w:rPr>
        <w:t xml:space="preserve"> </w:t>
      </w:r>
      <w:r w:rsidR="00AD5B37" w:rsidRPr="00F31501">
        <w:rPr>
          <w:b/>
          <w:bCs/>
          <w:lang w:val="en-US"/>
        </w:rPr>
        <w:t>bits</w:t>
      </w:r>
      <w:r w:rsidR="00D204F3" w:rsidRPr="00F31501">
        <w:rPr>
          <w:b/>
          <w:bCs/>
          <w:lang w:val="en-US"/>
        </w:rPr>
        <w:t xml:space="preserve"> incre</w:t>
      </w:r>
      <w:r w:rsidR="009258D6" w:rsidRPr="00F31501">
        <w:rPr>
          <w:b/>
          <w:bCs/>
          <w:lang w:val="en-US"/>
        </w:rPr>
        <w:t>ase</w:t>
      </w:r>
      <w:r w:rsidR="001227D2" w:rsidRPr="00F31501">
        <w:rPr>
          <w:b/>
          <w:bCs/>
          <w:lang w:val="en-US"/>
        </w:rPr>
        <w:t xml:space="preserve"> in</w:t>
      </w:r>
      <w:r w:rsidR="00F94BD7" w:rsidRPr="00F31501">
        <w:rPr>
          <w:b/>
          <w:bCs/>
          <w:lang w:val="en-US"/>
        </w:rPr>
        <w:t xml:space="preserve"> mean overhead</w:t>
      </w:r>
      <w:r w:rsidR="00BB0218" w:rsidRPr="00F31501">
        <w:rPr>
          <w:b/>
          <w:bCs/>
          <w:lang w:val="en-US"/>
        </w:rPr>
        <w:t>. Scheme-B shows</w:t>
      </w:r>
      <w:r w:rsidR="00803D28" w:rsidRPr="00F31501">
        <w:rPr>
          <w:b/>
          <w:bCs/>
          <w:lang w:val="en-US"/>
        </w:rPr>
        <w:t xml:space="preserve"> about </w:t>
      </w:r>
      <w:r w:rsidR="00FA787A" w:rsidRPr="00F31501">
        <w:rPr>
          <w:b/>
          <w:bCs/>
          <w:lang w:val="en-US"/>
        </w:rPr>
        <w:t>1</w:t>
      </w:r>
      <w:r w:rsidR="002C38C7">
        <w:rPr>
          <w:b/>
          <w:bCs/>
          <w:lang w:val="en-US"/>
        </w:rPr>
        <w:t>3</w:t>
      </w:r>
      <w:r w:rsidR="00FA787A" w:rsidRPr="00F31501">
        <w:rPr>
          <w:b/>
          <w:bCs/>
          <w:lang w:val="en-US"/>
        </w:rPr>
        <w:t>%</w:t>
      </w:r>
      <w:r w:rsidR="00EB2914" w:rsidRPr="00F31501">
        <w:rPr>
          <w:b/>
          <w:bCs/>
          <w:lang w:val="en-US"/>
        </w:rPr>
        <w:t xml:space="preserve"> mean throughput gain over Rel-15 Type-I</w:t>
      </w:r>
      <w:r w:rsidR="00193019" w:rsidRPr="00F31501">
        <w:rPr>
          <w:b/>
          <w:bCs/>
          <w:lang w:val="en-US"/>
        </w:rPr>
        <w:t xml:space="preserve"> with about </w:t>
      </w:r>
      <w:r w:rsidR="00B97EEA" w:rsidRPr="00F31501">
        <w:rPr>
          <w:b/>
          <w:bCs/>
          <w:lang w:val="en-US"/>
        </w:rPr>
        <w:t>5</w:t>
      </w:r>
      <w:r w:rsidR="00BC3100">
        <w:rPr>
          <w:b/>
          <w:bCs/>
          <w:lang w:val="en-US"/>
        </w:rPr>
        <w:t>9</w:t>
      </w:r>
      <w:r w:rsidR="00B97EEA" w:rsidRPr="00F31501">
        <w:rPr>
          <w:b/>
          <w:bCs/>
          <w:lang w:val="en-US"/>
        </w:rPr>
        <w:t xml:space="preserve"> bits</w:t>
      </w:r>
      <w:r w:rsidR="009568AE">
        <w:rPr>
          <w:b/>
          <w:bCs/>
          <w:lang w:val="en-US"/>
        </w:rPr>
        <w:t xml:space="preserve"> increase</w:t>
      </w:r>
      <w:r w:rsidR="001227D2" w:rsidRPr="00F31501">
        <w:rPr>
          <w:b/>
          <w:bCs/>
          <w:lang w:val="en-US"/>
        </w:rPr>
        <w:t xml:space="preserve"> in mean overhead</w:t>
      </w:r>
      <w:r w:rsidR="00F31501" w:rsidRPr="00F31501">
        <w:rPr>
          <w:b/>
          <w:bCs/>
          <w:lang w:val="en-US"/>
        </w:rPr>
        <w:t>.</w:t>
      </w:r>
      <w:bookmarkEnd w:id="14"/>
    </w:p>
    <w:p w14:paraId="23D7C930" w14:textId="3078A312" w:rsidR="0085684E" w:rsidRPr="00F31501" w:rsidRDefault="00D07974" w:rsidP="004427E0">
      <w:pPr>
        <w:pStyle w:val="ListParagraph"/>
        <w:numPr>
          <w:ilvl w:val="0"/>
          <w:numId w:val="43"/>
        </w:numPr>
        <w:spacing w:after="180"/>
        <w:ind w:left="1559" w:hanging="357"/>
        <w:contextualSpacing w:val="0"/>
        <w:rPr>
          <w:b/>
          <w:bCs/>
          <w:lang w:val="en-US"/>
        </w:rPr>
      </w:pPr>
      <w:bookmarkStart w:id="15" w:name="_Ref181986293"/>
      <w:r>
        <w:rPr>
          <w:b/>
          <w:bCs/>
          <w:lang w:val="en-US"/>
        </w:rPr>
        <w:t xml:space="preserve">The </w:t>
      </w:r>
      <w:r w:rsidR="005B2A61">
        <w:rPr>
          <w:b/>
          <w:bCs/>
          <w:lang w:val="en-US"/>
        </w:rPr>
        <w:t>through</w:t>
      </w:r>
      <w:r w:rsidR="00F60B25">
        <w:rPr>
          <w:b/>
          <w:bCs/>
          <w:lang w:val="en-US"/>
        </w:rPr>
        <w:t xml:space="preserve">put </w:t>
      </w:r>
      <w:r>
        <w:rPr>
          <w:b/>
          <w:bCs/>
          <w:lang w:val="en-US"/>
        </w:rPr>
        <w:t xml:space="preserve">gain of Scheme-A </w:t>
      </w:r>
      <w:r w:rsidR="00935007">
        <w:rPr>
          <w:b/>
          <w:bCs/>
          <w:lang w:val="en-US"/>
        </w:rPr>
        <w:t xml:space="preserve">over Rel-15 </w:t>
      </w:r>
      <w:r w:rsidR="00723B8B">
        <w:rPr>
          <w:b/>
          <w:bCs/>
          <w:lang w:val="en-US"/>
        </w:rPr>
        <w:t>would increase</w:t>
      </w:r>
      <w:r w:rsidR="00F60B25">
        <w:rPr>
          <w:b/>
          <w:bCs/>
          <w:lang w:val="en-US"/>
        </w:rPr>
        <w:t xml:space="preserve"> further</w:t>
      </w:r>
      <w:r w:rsidR="000973E1">
        <w:rPr>
          <w:b/>
          <w:bCs/>
          <w:lang w:val="en-US"/>
        </w:rPr>
        <w:t xml:space="preserve">, </w:t>
      </w:r>
      <w:r w:rsidR="00560710">
        <w:rPr>
          <w:b/>
          <w:bCs/>
          <w:lang w:val="en-US"/>
        </w:rPr>
        <w:t>including at cell-edge,</w:t>
      </w:r>
      <w:r w:rsidR="00723B8B">
        <w:rPr>
          <w:b/>
          <w:bCs/>
          <w:lang w:val="en-US"/>
        </w:rPr>
        <w:t xml:space="preserve"> if </w:t>
      </w:r>
      <w:r w:rsidR="00A205CF">
        <w:rPr>
          <w:b/>
          <w:bCs/>
          <w:lang w:val="en-US"/>
        </w:rPr>
        <w:t>the extended orthogonal candidate set for beam selection was introduced also for ranks 1 to 4</w:t>
      </w:r>
      <w:r w:rsidR="00F60B25">
        <w:rPr>
          <w:b/>
          <w:bCs/>
          <w:lang w:val="en-US"/>
        </w:rPr>
        <w:t xml:space="preserve">, without </w:t>
      </w:r>
      <w:r w:rsidR="002F2AB6">
        <w:rPr>
          <w:b/>
          <w:bCs/>
          <w:lang w:val="en-US"/>
        </w:rPr>
        <w:t xml:space="preserve">any significant </w:t>
      </w:r>
      <w:r w:rsidR="001C0934">
        <w:rPr>
          <w:b/>
          <w:bCs/>
          <w:lang w:val="en-US"/>
        </w:rPr>
        <w:t>increase in overhead or UE complexity</w:t>
      </w:r>
      <w:r w:rsidR="00A205CF">
        <w:rPr>
          <w:b/>
          <w:bCs/>
          <w:lang w:val="en-US"/>
        </w:rPr>
        <w:t>.</w:t>
      </w:r>
      <w:bookmarkEnd w:id="15"/>
    </w:p>
    <w:p w14:paraId="6C3D15CF" w14:textId="0B0814EC" w:rsidR="006A19E8" w:rsidRDefault="00572816" w:rsidP="0099304C">
      <w:pPr>
        <w:pStyle w:val="ListParagraph"/>
        <w:numPr>
          <w:ilvl w:val="0"/>
          <w:numId w:val="44"/>
        </w:numPr>
        <w:spacing w:after="180"/>
        <w:ind w:left="1276"/>
        <w:contextualSpacing w:val="0"/>
        <w:rPr>
          <w:b/>
          <w:bCs/>
          <w:lang w:val="en-US"/>
        </w:rPr>
      </w:pPr>
      <w:bookmarkStart w:id="16" w:name="_Ref181986396"/>
      <w:r w:rsidRPr="00F21DD1">
        <w:rPr>
          <w:b/>
          <w:bCs/>
          <w:lang w:val="en-US"/>
        </w:rPr>
        <w:t>Support extension of Scheme-A and Scheme-B</w:t>
      </w:r>
      <w:r w:rsidR="00B7763B" w:rsidRPr="00F21DD1">
        <w:rPr>
          <w:b/>
          <w:bCs/>
          <w:lang w:val="en-US"/>
        </w:rPr>
        <w:t xml:space="preserve"> to </w:t>
      </w:r>
      <w:r w:rsidR="00D908B1" w:rsidRPr="00F21DD1">
        <w:rPr>
          <w:b/>
          <w:bCs/>
          <w:lang w:val="en-US"/>
        </w:rPr>
        <w:t xml:space="preserve">legacy </w:t>
      </w:r>
      <m:oMath>
        <m:r>
          <m:rPr>
            <m:sty m:val="bi"/>
          </m:rPr>
          <w:rPr>
            <w:rFonts w:ascii="Cambria Math" w:hAnsi="Cambria Math"/>
            <w:lang w:val="en-US"/>
          </w:rPr>
          <m:t>≤</m:t>
        </m:r>
      </m:oMath>
      <w:r w:rsidR="00EA4E6D" w:rsidRPr="00F21DD1">
        <w:rPr>
          <w:b/>
          <w:bCs/>
          <w:lang w:val="en-US"/>
        </w:rPr>
        <w:t xml:space="preserve"> </w:t>
      </w:r>
      <w:r w:rsidR="00D908B1" w:rsidRPr="00F21DD1">
        <w:rPr>
          <w:b/>
          <w:bCs/>
          <w:lang w:val="en-US"/>
        </w:rPr>
        <w:t xml:space="preserve">32 ports </w:t>
      </w:r>
      <w:r w:rsidR="00EA4E6D" w:rsidRPr="00F21DD1">
        <w:rPr>
          <w:b/>
          <w:bCs/>
          <w:lang w:val="en-US"/>
        </w:rPr>
        <w:t xml:space="preserve">for </w:t>
      </w:r>
      <w:r w:rsidR="00B71AAE" w:rsidRPr="00F21DD1">
        <w:rPr>
          <w:b/>
          <w:bCs/>
          <w:lang w:val="en-US"/>
        </w:rPr>
        <w:t>up to rank 8</w:t>
      </w:r>
      <w:r w:rsidR="00EA4E6D" w:rsidRPr="00F21DD1">
        <w:rPr>
          <w:b/>
          <w:bCs/>
          <w:lang w:val="en-US"/>
        </w:rPr>
        <w:t>.</w:t>
      </w:r>
      <w:bookmarkEnd w:id="16"/>
    </w:p>
    <w:p w14:paraId="453303C4" w14:textId="7FFECDC6" w:rsidR="00634167" w:rsidRDefault="002879F8" w:rsidP="0099304C">
      <w:pPr>
        <w:pStyle w:val="ListParagraph"/>
        <w:numPr>
          <w:ilvl w:val="0"/>
          <w:numId w:val="44"/>
        </w:numPr>
        <w:spacing w:after="180"/>
        <w:ind w:left="1276"/>
        <w:contextualSpacing w:val="0"/>
        <w:rPr>
          <w:b/>
          <w:bCs/>
          <w:lang w:val="en-US"/>
        </w:rPr>
      </w:pPr>
      <w:bookmarkStart w:id="17" w:name="_Ref181986408"/>
      <w:r>
        <w:rPr>
          <w:b/>
          <w:bCs/>
          <w:lang w:val="en-US"/>
        </w:rPr>
        <w:t xml:space="preserve">Support </w:t>
      </w:r>
      <w:r w:rsidR="007004DE">
        <w:rPr>
          <w:b/>
          <w:bCs/>
          <w:lang w:val="en-US"/>
        </w:rPr>
        <w:t xml:space="preserve">extended orthogonal candidate set </w:t>
      </w:r>
      <w:r w:rsidR="00270248">
        <w:rPr>
          <w:b/>
          <w:bCs/>
          <w:lang w:val="en-US"/>
        </w:rPr>
        <w:t>for the second SD basis for Scheme-A and rank</w:t>
      </w:r>
      <w:r w:rsidR="00560710">
        <w:rPr>
          <w:b/>
          <w:bCs/>
          <w:lang w:val="en-US"/>
        </w:rPr>
        <w:t>s 1-4.</w:t>
      </w:r>
      <w:bookmarkEnd w:id="17"/>
    </w:p>
    <w:p w14:paraId="32DD104C" w14:textId="77777777" w:rsidR="00F96FEC" w:rsidRPr="00F96FEC" w:rsidRDefault="00F96FEC" w:rsidP="00F96FEC">
      <w:pPr>
        <w:spacing w:after="180"/>
        <w:rPr>
          <w:b/>
          <w:bCs/>
          <w:lang w:val="en-US"/>
        </w:rPr>
      </w:pPr>
    </w:p>
    <w:p w14:paraId="65E3AF7B" w14:textId="5E9E0625" w:rsidR="00DF5494" w:rsidRPr="008A35B1" w:rsidRDefault="008E1CC5" w:rsidP="007A681D">
      <w:pPr>
        <w:pStyle w:val="Heading1"/>
      </w:pPr>
      <w:r w:rsidRPr="008A35B1">
        <w:t>3</w:t>
      </w:r>
      <w:r w:rsidR="008F5A11" w:rsidRPr="008A35B1">
        <w:tab/>
      </w:r>
      <w:r w:rsidR="00C349B1" w:rsidRPr="008A35B1">
        <w:t>UE-assisted CJT calibration</w:t>
      </w:r>
      <w:r w:rsidR="005A289C" w:rsidRPr="008A35B1">
        <w:t xml:space="preserve"> </w:t>
      </w:r>
      <w:r w:rsidR="00C349B1" w:rsidRPr="008A35B1">
        <w:t>for</w:t>
      </w:r>
      <w:r w:rsidR="005A289C" w:rsidRPr="008A35B1">
        <w:t xml:space="preserve"> nonideal synchronisation</w:t>
      </w:r>
      <w:r w:rsidR="008F5A11" w:rsidRPr="008A35B1">
        <w:t xml:space="preserve"> </w:t>
      </w:r>
      <w:r w:rsidR="00C349B1" w:rsidRPr="008A35B1">
        <w:t>and backhaul</w:t>
      </w:r>
      <w:bookmarkStart w:id="18" w:name="_Ref158982004"/>
    </w:p>
    <w:p w14:paraId="3BBC0D74" w14:textId="77777777" w:rsidR="007A176A" w:rsidRPr="008A35B1" w:rsidRDefault="007A176A" w:rsidP="00DF5494"/>
    <w:p w14:paraId="1C626493" w14:textId="75915E08" w:rsidR="001A548C" w:rsidRPr="008A35B1" w:rsidRDefault="001959BD" w:rsidP="001B3F29">
      <w:pPr>
        <w:pStyle w:val="Heading2"/>
      </w:pPr>
      <w:r w:rsidRPr="008A35B1">
        <w:t>3.1</w:t>
      </w:r>
      <w:r w:rsidRPr="008A35B1">
        <w:tab/>
      </w:r>
      <w:r w:rsidR="00D550CA">
        <w:t>Separately triggered</w:t>
      </w:r>
      <w:r w:rsidR="009A57E8" w:rsidRPr="008A35B1">
        <w:t xml:space="preserve"> </w:t>
      </w:r>
      <w:r w:rsidR="00AD0002">
        <w:t>Dd</w:t>
      </w:r>
      <w:r w:rsidR="00BF7CB0">
        <w:t xml:space="preserve"> and CJT CSI reports</w:t>
      </w:r>
      <w:r w:rsidR="009A57E8" w:rsidRPr="008A35B1">
        <w:t xml:space="preserve">: </w:t>
      </w:r>
      <w:r w:rsidR="00BF7CB0">
        <w:t>on the indication of UE</w:t>
      </w:r>
      <w:r w:rsidR="00813A98">
        <w:t>-side delay offset</w:t>
      </w:r>
      <w:r w:rsidR="00595DA1">
        <w:t xml:space="preserve"> compensation of</w:t>
      </w:r>
      <w:r w:rsidR="002F604D">
        <w:t xml:space="preserve"> CSI-RS</w:t>
      </w:r>
      <w:r w:rsidR="0052361A">
        <w:t xml:space="preserve"> resources</w:t>
      </w:r>
    </w:p>
    <w:p w14:paraId="0D6A0859" w14:textId="0B5AE41D" w:rsidR="00D7371E" w:rsidRDefault="00D7371E" w:rsidP="00D7371E">
      <w:r w:rsidRPr="008A35B1">
        <w:t>In RAN1</w:t>
      </w:r>
      <w:r w:rsidR="00F85350" w:rsidRPr="008A35B1">
        <w:t>#11</w:t>
      </w:r>
      <w:r w:rsidR="007B3716" w:rsidRPr="008A35B1">
        <w:t>8</w:t>
      </w:r>
      <w:r w:rsidR="00387837">
        <w:t>bis</w:t>
      </w:r>
      <w:r w:rsidR="00716DEF" w:rsidRPr="008A35B1">
        <w:t xml:space="preserve">, </w:t>
      </w:r>
      <w:r w:rsidR="003C7D26" w:rsidRPr="008A35B1">
        <w:t>it was agreed</w:t>
      </w:r>
      <w:r w:rsidR="006549A8" w:rsidRPr="008A35B1">
        <w:t xml:space="preserve"> </w:t>
      </w:r>
      <w:r w:rsidR="00DE7300" w:rsidRPr="008A35B1">
        <w:t xml:space="preserve">to </w:t>
      </w:r>
      <w:r w:rsidR="00387837">
        <w:t>introduce a</w:t>
      </w:r>
      <w:r w:rsidR="005852CD">
        <w:t xml:space="preserve">n RRC indication </w:t>
      </w:r>
      <w:r w:rsidR="005375AB">
        <w:t>within a trigger state</w:t>
      </w:r>
      <w:r w:rsidR="006077EA">
        <w:t xml:space="preserve"> to indicate</w:t>
      </w:r>
      <w:r w:rsidR="00753E98">
        <w:t xml:space="preserve"> whether a UE should </w:t>
      </w:r>
      <w:r w:rsidR="00157093">
        <w:t xml:space="preserve">perform </w:t>
      </w:r>
      <w:r w:rsidR="001179EC">
        <w:t>delay offset compensation</w:t>
      </w:r>
      <w:r w:rsidR="00644F87">
        <w:t xml:space="preserve"> </w:t>
      </w:r>
      <w:r w:rsidR="004B12BF">
        <w:t xml:space="preserve">when calculating a CJT CSI report, </w:t>
      </w:r>
      <w:r w:rsidR="00644F87">
        <w:t>based</w:t>
      </w:r>
      <w:r w:rsidR="00BF48D1">
        <w:t xml:space="preserve"> on </w:t>
      </w:r>
      <w:r w:rsidR="004B12BF">
        <w:t>the link</w:t>
      </w:r>
      <w:r w:rsidR="00093938">
        <w:t>ed CJT</w:t>
      </w:r>
      <w:r w:rsidR="00345F60">
        <w:t xml:space="preserve"> calibration</w:t>
      </w:r>
      <w:r w:rsidR="004B12BF">
        <w:t xml:space="preserve"> Dd report</w:t>
      </w:r>
      <w:r w:rsidR="00345F60">
        <w:t>, when the two reports are separately triggered.</w:t>
      </w:r>
    </w:p>
    <w:p w14:paraId="58B84C68" w14:textId="77777777" w:rsidR="00B85531" w:rsidRPr="00B85531" w:rsidRDefault="00B85531" w:rsidP="00B85531">
      <w:pPr>
        <w:snapToGrid w:val="0"/>
        <w:spacing w:after="0" w:line="240" w:lineRule="auto"/>
        <w:jc w:val="both"/>
        <w:rPr>
          <w:rFonts w:ascii="Times" w:eastAsia="Malgun Gothic" w:hAnsi="Times" w:cs="Times"/>
          <w:b/>
          <w:i/>
          <w:iCs/>
          <w:lang w:eastAsia="ko-KR"/>
        </w:rPr>
      </w:pPr>
      <w:r w:rsidRPr="00B85531">
        <w:rPr>
          <w:rFonts w:ascii="Times" w:eastAsia="Malgun Gothic" w:hAnsi="Times" w:cs="Times" w:hint="eastAsia"/>
          <w:b/>
          <w:i/>
          <w:iCs/>
          <w:highlight w:val="green"/>
          <w:lang w:eastAsia="ko-KR"/>
        </w:rPr>
        <w:t>Agreement</w:t>
      </w:r>
      <w:r w:rsidRPr="00B85531">
        <w:rPr>
          <w:rFonts w:ascii="Times" w:eastAsia="Batang" w:hAnsi="Times"/>
          <w:i/>
          <w:iCs/>
          <w:kern w:val="24"/>
          <w:highlight w:val="yellow"/>
          <w:lang w:val="en-US" w:eastAsia="en-GB"/>
        </w:rPr>
        <w:t>(RAN1#118bis)</w:t>
      </w:r>
    </w:p>
    <w:p w14:paraId="31581955" w14:textId="77777777" w:rsidR="00B85531" w:rsidRPr="00B85531" w:rsidRDefault="00B85531" w:rsidP="00B85531">
      <w:pPr>
        <w:snapToGrid w:val="0"/>
        <w:spacing w:after="0" w:line="240" w:lineRule="auto"/>
        <w:rPr>
          <w:rFonts w:ascii="Times" w:eastAsia="Batang" w:hAnsi="Times" w:cs="Times"/>
          <w:i/>
          <w:iCs/>
        </w:rPr>
      </w:pPr>
      <w:r w:rsidRPr="00B85531">
        <w:rPr>
          <w:rFonts w:ascii="Times" w:eastAsia="DengXian" w:hAnsi="Times"/>
          <w:bCs/>
          <w:i/>
          <w:iCs/>
          <w:lang w:eastAsia="zh-CN"/>
        </w:rPr>
        <w:t>For the Rel-19 aperiodic standalone CJT calibration (CJTC) reporting,</w:t>
      </w:r>
      <w:r w:rsidRPr="00B85531">
        <w:rPr>
          <w:rFonts w:ascii="Times" w:eastAsia="Batang" w:hAnsi="Times" w:cs="Times"/>
          <w:i/>
          <w:iCs/>
        </w:rPr>
        <w:t xml:space="preserve"> when linking CJTC Dd and Rel-18 </w:t>
      </w:r>
      <w:proofErr w:type="spellStart"/>
      <w:r w:rsidRPr="00B85531">
        <w:rPr>
          <w:rFonts w:ascii="Times" w:eastAsia="Batang" w:hAnsi="Times" w:cs="Times"/>
          <w:i/>
          <w:iCs/>
        </w:rPr>
        <w:t>eType</w:t>
      </w:r>
      <w:proofErr w:type="spellEnd"/>
      <w:r w:rsidRPr="00B85531">
        <w:rPr>
          <w:rFonts w:ascii="Times" w:eastAsia="Batang" w:hAnsi="Times" w:cs="Times"/>
          <w:i/>
          <w:iCs/>
        </w:rPr>
        <w:t xml:space="preserve">-II CJT CSI reports is configured with two separate triggers, support to include an indicator in the trigger for a Rel-18 </w:t>
      </w:r>
      <w:proofErr w:type="spellStart"/>
      <w:r w:rsidRPr="00B85531">
        <w:rPr>
          <w:rFonts w:ascii="Times" w:eastAsia="Batang" w:hAnsi="Times" w:cs="Times"/>
          <w:i/>
          <w:iCs/>
        </w:rPr>
        <w:t>eType</w:t>
      </w:r>
      <w:proofErr w:type="spellEnd"/>
      <w:r w:rsidRPr="00B85531">
        <w:rPr>
          <w:rFonts w:ascii="Times" w:eastAsia="Batang" w:hAnsi="Times" w:cs="Times"/>
          <w:i/>
          <w:iCs/>
        </w:rPr>
        <w:t>-II CJT CSI, which indicates whether the UE should perform delay offset (DO) compensation based on the linked CJTC Dd report when calculating the Rel-18 Type-II CJT CSI or not.</w:t>
      </w:r>
    </w:p>
    <w:p w14:paraId="1BD0ACC5" w14:textId="77777777" w:rsidR="00B85531" w:rsidRPr="00B85531" w:rsidRDefault="00B85531" w:rsidP="00B85531">
      <w:pPr>
        <w:numPr>
          <w:ilvl w:val="0"/>
          <w:numId w:val="46"/>
        </w:numPr>
        <w:snapToGrid w:val="0"/>
        <w:spacing w:after="0" w:line="240" w:lineRule="auto"/>
        <w:contextualSpacing/>
        <w:rPr>
          <w:rFonts w:ascii="Times" w:eastAsia="Batang" w:hAnsi="Times" w:cs="Times"/>
          <w:i/>
          <w:iCs/>
          <w:lang w:eastAsia="x-none"/>
        </w:rPr>
      </w:pPr>
      <w:r w:rsidRPr="00B85531">
        <w:rPr>
          <w:rFonts w:ascii="Times" w:eastAsia="Batang" w:hAnsi="Times" w:cs="Times"/>
          <w:i/>
          <w:iCs/>
          <w:lang w:eastAsia="x-none"/>
        </w:rPr>
        <w:t xml:space="preserve">This feature is a separate UE capability </w:t>
      </w:r>
    </w:p>
    <w:p w14:paraId="2F80C1B5" w14:textId="77777777" w:rsidR="00B85531" w:rsidRPr="00B85531" w:rsidRDefault="00B85531" w:rsidP="00B85531">
      <w:pPr>
        <w:numPr>
          <w:ilvl w:val="0"/>
          <w:numId w:val="46"/>
        </w:numPr>
        <w:snapToGrid w:val="0"/>
        <w:spacing w:after="0" w:line="240" w:lineRule="auto"/>
        <w:contextualSpacing/>
        <w:rPr>
          <w:rFonts w:ascii="Times" w:eastAsia="Batang" w:hAnsi="Times" w:cs="Times"/>
          <w:i/>
          <w:iCs/>
          <w:lang w:eastAsia="x-none"/>
        </w:rPr>
      </w:pPr>
      <w:r w:rsidRPr="00B85531">
        <w:rPr>
          <w:rFonts w:ascii="Times" w:eastAsia="Batang" w:hAnsi="Times" w:cs="Times"/>
          <w:i/>
          <w:iCs/>
          <w:lang w:eastAsia="x-none"/>
        </w:rPr>
        <w:t>No new DCI field is introduced</w:t>
      </w:r>
      <w:r w:rsidRPr="00B85531">
        <w:rPr>
          <w:rFonts w:ascii="Times" w:eastAsia="Batang" w:hAnsi="Times" w:cs="Times" w:hint="eastAsia"/>
          <w:i/>
          <w:iCs/>
          <w:lang w:eastAsia="ko-KR"/>
        </w:rPr>
        <w:t>. This does not preclude increasing the bit width for CSI request.</w:t>
      </w:r>
    </w:p>
    <w:p w14:paraId="7B4294F5" w14:textId="6DF4B28E" w:rsidR="00F637C8" w:rsidRPr="006556E9" w:rsidRDefault="00B85531" w:rsidP="00D7371E">
      <w:pPr>
        <w:numPr>
          <w:ilvl w:val="0"/>
          <w:numId w:val="47"/>
        </w:numPr>
        <w:snapToGrid w:val="0"/>
        <w:spacing w:after="180" w:line="240" w:lineRule="auto"/>
        <w:ind w:left="714" w:hanging="357"/>
        <w:rPr>
          <w:rFonts w:ascii="Times" w:eastAsia="Batang" w:hAnsi="Times" w:cs="Times"/>
          <w:lang w:eastAsia="x-none"/>
        </w:rPr>
      </w:pPr>
      <w:r w:rsidRPr="00B85531">
        <w:rPr>
          <w:rFonts w:ascii="Times" w:eastAsia="Batang" w:hAnsi="Times" w:cs="Times"/>
          <w:i/>
          <w:iCs/>
          <w:lang w:eastAsia="x-none"/>
        </w:rPr>
        <w:t>FFS: Details on signalling design for the indicator including whether it is per CSI-RS resource/Dd value and the associated UE behaviour(s)</w:t>
      </w:r>
    </w:p>
    <w:p w14:paraId="1230AFB5" w14:textId="77777777" w:rsidR="006C425F" w:rsidRPr="006C425F" w:rsidRDefault="006C425F" w:rsidP="006C425F">
      <w:pPr>
        <w:snapToGrid w:val="0"/>
        <w:spacing w:after="0" w:line="240" w:lineRule="auto"/>
        <w:jc w:val="both"/>
        <w:rPr>
          <w:rFonts w:ascii="Times" w:eastAsia="Malgun Gothic" w:hAnsi="Times" w:cs="Times"/>
          <w:b/>
          <w:i/>
          <w:iCs/>
          <w:lang w:eastAsia="ko-KR"/>
        </w:rPr>
      </w:pPr>
      <w:r w:rsidRPr="006C425F">
        <w:rPr>
          <w:rFonts w:ascii="Times" w:eastAsia="Malgun Gothic" w:hAnsi="Times" w:cs="Times" w:hint="eastAsia"/>
          <w:b/>
          <w:i/>
          <w:iCs/>
          <w:highlight w:val="green"/>
          <w:lang w:eastAsia="ko-KR"/>
        </w:rPr>
        <w:t>Agreement</w:t>
      </w:r>
      <w:r w:rsidRPr="006C425F">
        <w:rPr>
          <w:rFonts w:ascii="Times" w:eastAsia="Batang" w:hAnsi="Times"/>
          <w:i/>
          <w:iCs/>
          <w:kern w:val="24"/>
          <w:highlight w:val="yellow"/>
          <w:lang w:val="en-US" w:eastAsia="en-GB"/>
        </w:rPr>
        <w:t>(RAN1#118bis)</w:t>
      </w:r>
    </w:p>
    <w:p w14:paraId="70D164F4" w14:textId="77777777" w:rsidR="006C425F" w:rsidRPr="006C425F" w:rsidRDefault="006C425F" w:rsidP="006C425F">
      <w:pPr>
        <w:spacing w:after="0" w:line="240" w:lineRule="auto"/>
        <w:rPr>
          <w:rFonts w:ascii="Times" w:eastAsia="Batang" w:hAnsi="Times" w:cs="Times"/>
          <w:i/>
          <w:iCs/>
        </w:rPr>
      </w:pPr>
      <w:r w:rsidRPr="006C425F">
        <w:rPr>
          <w:rFonts w:ascii="Times" w:eastAsia="Batang" w:hAnsi="Times" w:cs="Times"/>
          <w:i/>
          <w:iCs/>
        </w:rPr>
        <w:t xml:space="preserve">For the Rel-19 aperiodic standalone CJT calibration (CJTC) reporting, when linking CJTC Dd and Rel-18 </w:t>
      </w:r>
      <w:proofErr w:type="spellStart"/>
      <w:r w:rsidRPr="006C425F">
        <w:rPr>
          <w:rFonts w:ascii="Times" w:eastAsia="Batang" w:hAnsi="Times" w:cs="Times"/>
          <w:i/>
          <w:iCs/>
        </w:rPr>
        <w:t>eType</w:t>
      </w:r>
      <w:proofErr w:type="spellEnd"/>
      <w:r w:rsidRPr="006C425F">
        <w:rPr>
          <w:rFonts w:ascii="Times" w:eastAsia="Batang" w:hAnsi="Times" w:cs="Times"/>
          <w:i/>
          <w:iCs/>
        </w:rPr>
        <w:t>-II CJT CSI reports is configured with two separate triggers, to indicate whether or not the UE should perform delay offset (DO) compensation based on the latest linked CJTC Dd report when calculating the Rel-18 Type-II CJT CSI, introduce a 1-bit indicator per CSI trigger state:</w:t>
      </w:r>
    </w:p>
    <w:p w14:paraId="2C1AD94E" w14:textId="77777777" w:rsidR="006C425F" w:rsidRPr="006C425F" w:rsidRDefault="006C425F" w:rsidP="006C425F">
      <w:pPr>
        <w:numPr>
          <w:ilvl w:val="0"/>
          <w:numId w:val="48"/>
        </w:numPr>
        <w:spacing w:after="0" w:line="240" w:lineRule="auto"/>
        <w:rPr>
          <w:rFonts w:ascii="Times" w:eastAsia="Batang" w:hAnsi="Times" w:cs="Times"/>
          <w:i/>
          <w:iCs/>
          <w:lang w:eastAsia="x-none"/>
        </w:rPr>
      </w:pPr>
      <w:r w:rsidRPr="006C425F">
        <w:rPr>
          <w:rFonts w:ascii="Times" w:eastAsia="Batang" w:hAnsi="Times" w:cs="Times"/>
          <w:i/>
          <w:iCs/>
          <w:lang w:eastAsia="x-none"/>
        </w:rPr>
        <w:t>The 1-bit indicator is an RRC parameter</w:t>
      </w:r>
    </w:p>
    <w:p w14:paraId="1D0F5822" w14:textId="77777777" w:rsidR="006C425F" w:rsidRPr="006C425F" w:rsidRDefault="006C425F" w:rsidP="006C425F">
      <w:pPr>
        <w:numPr>
          <w:ilvl w:val="0"/>
          <w:numId w:val="48"/>
        </w:numPr>
        <w:spacing w:after="0" w:line="240" w:lineRule="auto"/>
        <w:rPr>
          <w:rFonts w:ascii="Times" w:eastAsia="Batang" w:hAnsi="Times" w:cs="Times"/>
          <w:i/>
          <w:iCs/>
          <w:lang w:eastAsia="x-none"/>
        </w:rPr>
      </w:pPr>
      <w:r w:rsidRPr="006C425F">
        <w:rPr>
          <w:rFonts w:ascii="Times" w:eastAsia="Batang" w:hAnsi="Times" w:cs="Times"/>
          <w:i/>
          <w:iCs/>
          <w:lang w:eastAsia="x-none"/>
        </w:rPr>
        <w:t xml:space="preserve">This is done without increasing the bit-width of the CSI request field of the DCI triggering a Rel-18 CJT </w:t>
      </w:r>
      <w:proofErr w:type="spellStart"/>
      <w:r w:rsidRPr="006C425F">
        <w:rPr>
          <w:rFonts w:ascii="Times" w:eastAsia="Batang" w:hAnsi="Times" w:cs="Times"/>
          <w:i/>
          <w:iCs/>
          <w:lang w:eastAsia="x-none"/>
        </w:rPr>
        <w:t>eType</w:t>
      </w:r>
      <w:proofErr w:type="spellEnd"/>
      <w:r w:rsidRPr="006C425F">
        <w:rPr>
          <w:rFonts w:ascii="Times" w:eastAsia="Batang" w:hAnsi="Times" w:cs="Times"/>
          <w:i/>
          <w:iCs/>
          <w:lang w:eastAsia="x-none"/>
        </w:rPr>
        <w:t>-II CJT CSI report</w:t>
      </w:r>
    </w:p>
    <w:p w14:paraId="70B4DF2C" w14:textId="77777777" w:rsidR="006C425F" w:rsidRPr="006C425F" w:rsidRDefault="006C425F" w:rsidP="006C425F">
      <w:pPr>
        <w:numPr>
          <w:ilvl w:val="0"/>
          <w:numId w:val="48"/>
        </w:numPr>
        <w:spacing w:after="0" w:line="240" w:lineRule="auto"/>
        <w:rPr>
          <w:rFonts w:ascii="Times" w:eastAsia="Batang" w:hAnsi="Times" w:cs="Times"/>
          <w:i/>
          <w:iCs/>
          <w:lang w:eastAsia="x-none"/>
        </w:rPr>
      </w:pPr>
      <w:r w:rsidRPr="006C425F">
        <w:rPr>
          <w:rFonts w:ascii="Times" w:eastAsia="Batang" w:hAnsi="Times" w:cs="Times"/>
          <w:i/>
          <w:iCs/>
          <w:lang w:eastAsia="x-none"/>
        </w:rPr>
        <w:t>FFS (RAN1#119): Whether the 1-bit indicator applies to all the N</w:t>
      </w:r>
      <w:r w:rsidRPr="006C425F">
        <w:rPr>
          <w:rFonts w:ascii="Times" w:eastAsia="Batang" w:hAnsi="Times" w:cs="Times"/>
          <w:i/>
          <w:iCs/>
          <w:vertAlign w:val="subscript"/>
          <w:lang w:eastAsia="x-none"/>
        </w:rPr>
        <w:t>TRP</w:t>
      </w:r>
      <w:r w:rsidRPr="006C425F">
        <w:rPr>
          <w:rFonts w:ascii="Times" w:eastAsia="Batang" w:hAnsi="Times" w:cs="Times"/>
          <w:i/>
          <w:iCs/>
          <w:lang w:eastAsia="x-none"/>
        </w:rPr>
        <w:t xml:space="preserve"> CSI-RS resources, or to 1-bit indicator per CSI-RS resource</w:t>
      </w:r>
    </w:p>
    <w:p w14:paraId="65E29E7B" w14:textId="77777777" w:rsidR="006C425F" w:rsidRPr="006C425F" w:rsidRDefault="006C425F" w:rsidP="00345F60">
      <w:pPr>
        <w:numPr>
          <w:ilvl w:val="0"/>
          <w:numId w:val="48"/>
        </w:numPr>
        <w:spacing w:after="180" w:line="240" w:lineRule="auto"/>
        <w:ind w:left="714" w:hanging="357"/>
        <w:rPr>
          <w:rFonts w:ascii="Times" w:eastAsia="Batang" w:hAnsi="Times" w:cs="Times"/>
          <w:lang w:eastAsia="x-none"/>
        </w:rPr>
      </w:pPr>
      <w:r w:rsidRPr="006C425F">
        <w:rPr>
          <w:rFonts w:ascii="Times" w:eastAsia="Batang" w:hAnsi="Times"/>
          <w:i/>
          <w:iCs/>
          <w:lang w:eastAsia="x-none"/>
        </w:rPr>
        <w:t xml:space="preserve">FFS (RAN1#119): How this applies to a single CSI trigger state associated with &gt;1 CSI reports  </w:t>
      </w:r>
    </w:p>
    <w:p w14:paraId="1AD2AEE7" w14:textId="451B506E" w:rsidR="00061C24" w:rsidRDefault="00F443CE" w:rsidP="00D7371E">
      <w:r>
        <w:t xml:space="preserve">A trigger state contains a sequence of </w:t>
      </w:r>
      <w:r w:rsidR="0001462C" w:rsidRPr="00F72145">
        <w:rPr>
          <w:i/>
          <w:iCs/>
        </w:rPr>
        <w:t>CSI-</w:t>
      </w:r>
      <w:proofErr w:type="spellStart"/>
      <w:r w:rsidR="00F72145" w:rsidRPr="00F72145">
        <w:rPr>
          <w:i/>
          <w:iCs/>
        </w:rPr>
        <w:t>AssociatedReportConfigInfo</w:t>
      </w:r>
      <w:proofErr w:type="spellEnd"/>
      <w:r w:rsidR="00F72145">
        <w:t>, one for each CSI report</w:t>
      </w:r>
      <w:r w:rsidR="001A0B74">
        <w:t xml:space="preserve"> associated with the trigger state. </w:t>
      </w:r>
      <w:r w:rsidR="00230AD7">
        <w:t>In general, t</w:t>
      </w:r>
      <w:r w:rsidR="00353564">
        <w:t>hese reports included in the trigger state</w:t>
      </w:r>
      <w:r w:rsidR="00230AD7">
        <w:t xml:space="preserve"> are of different types</w:t>
      </w:r>
      <w:r w:rsidR="007E15A2">
        <w:t xml:space="preserve"> and </w:t>
      </w:r>
      <w:r w:rsidR="00A85AB0">
        <w:t xml:space="preserve">an indication of delay compensation is only applicable to </w:t>
      </w:r>
      <w:r w:rsidR="00BD6ACC">
        <w:t>a CJT CSI report</w:t>
      </w:r>
      <w:r w:rsidR="008B4A3C">
        <w:t>. It seems natural</w:t>
      </w:r>
      <w:r w:rsidR="00FC1227">
        <w:t xml:space="preserve"> that this 1-bit indication is included in the </w:t>
      </w:r>
      <w:r w:rsidR="00AE1CA9" w:rsidRPr="00F72145">
        <w:rPr>
          <w:i/>
          <w:iCs/>
        </w:rPr>
        <w:t>CSI-</w:t>
      </w:r>
      <w:proofErr w:type="spellStart"/>
      <w:r w:rsidR="00AE1CA9" w:rsidRPr="00F72145">
        <w:rPr>
          <w:i/>
          <w:iCs/>
        </w:rPr>
        <w:t>AssociatedReportConfigInfo</w:t>
      </w:r>
      <w:proofErr w:type="spellEnd"/>
      <w:r w:rsidR="002F25F0">
        <w:t xml:space="preserve"> </w:t>
      </w:r>
      <w:r w:rsidR="000E0E7A">
        <w:t xml:space="preserve">of the relevant CJT </w:t>
      </w:r>
      <w:r w:rsidR="00563B17">
        <w:t xml:space="preserve">CSI </w:t>
      </w:r>
      <w:r w:rsidR="000E0E7A">
        <w:t>report</w:t>
      </w:r>
      <w:r w:rsidR="00CD242B">
        <w:t>.</w:t>
      </w:r>
    </w:p>
    <w:p w14:paraId="6A976ACA" w14:textId="50CE5551" w:rsidR="005D45F7" w:rsidRPr="00E24A79" w:rsidRDefault="001E4E8E" w:rsidP="0099304C">
      <w:pPr>
        <w:pStyle w:val="ListParagraph"/>
        <w:numPr>
          <w:ilvl w:val="0"/>
          <w:numId w:val="43"/>
        </w:numPr>
        <w:spacing w:after="180"/>
        <w:ind w:left="1560"/>
        <w:contextualSpacing w:val="0"/>
        <w:rPr>
          <w:b/>
          <w:bCs/>
        </w:rPr>
      </w:pPr>
      <w:bookmarkStart w:id="19" w:name="_Ref181986326"/>
      <w:r w:rsidRPr="00E24A79">
        <w:rPr>
          <w:b/>
          <w:bCs/>
        </w:rPr>
        <w:t xml:space="preserve">Where to </w:t>
      </w:r>
      <w:r w:rsidR="00ED5A83" w:rsidRPr="00E24A79">
        <w:rPr>
          <w:b/>
          <w:bCs/>
        </w:rPr>
        <w:t>add</w:t>
      </w:r>
      <w:r w:rsidR="00185AC4" w:rsidRPr="00E24A79">
        <w:rPr>
          <w:b/>
          <w:bCs/>
        </w:rPr>
        <w:t xml:space="preserve"> the</w:t>
      </w:r>
      <w:r w:rsidR="0034539F" w:rsidRPr="00E24A79">
        <w:rPr>
          <w:b/>
          <w:bCs/>
        </w:rPr>
        <w:t xml:space="preserve"> 1-bit indicator in the trigger state</w:t>
      </w:r>
      <w:r w:rsidR="008F5579" w:rsidRPr="00E24A79">
        <w:rPr>
          <w:b/>
          <w:bCs/>
        </w:rPr>
        <w:t xml:space="preserve">, </w:t>
      </w:r>
      <w:r w:rsidR="008F5579" w:rsidRPr="00E24A79">
        <w:rPr>
          <w:b/>
          <w:bCs/>
          <w:i/>
          <w:iCs/>
        </w:rPr>
        <w:t>i.e.</w:t>
      </w:r>
      <w:r w:rsidR="000539E5" w:rsidRPr="00E24A79">
        <w:rPr>
          <w:b/>
          <w:bCs/>
        </w:rPr>
        <w:t xml:space="preserve">, </w:t>
      </w:r>
      <w:r w:rsidR="009C03B1" w:rsidRPr="00E24A79">
        <w:rPr>
          <w:b/>
          <w:bCs/>
        </w:rPr>
        <w:t>in</w:t>
      </w:r>
      <w:r w:rsidR="008D3701" w:rsidRPr="00E24A79">
        <w:rPr>
          <w:b/>
          <w:bCs/>
        </w:rPr>
        <w:t xml:space="preserve"> which IE of the trigger state can be </w:t>
      </w:r>
      <w:r w:rsidR="00E97EA2" w:rsidRPr="00E24A79">
        <w:rPr>
          <w:b/>
          <w:bCs/>
        </w:rPr>
        <w:t>left to RAN2</w:t>
      </w:r>
      <w:r w:rsidR="00456F34" w:rsidRPr="00E24A79">
        <w:rPr>
          <w:b/>
          <w:bCs/>
        </w:rPr>
        <w:t xml:space="preserve"> to decide. However, </w:t>
      </w:r>
      <w:r w:rsidR="009978AC" w:rsidRPr="00E24A79">
        <w:rPr>
          <w:b/>
          <w:bCs/>
        </w:rPr>
        <w:t xml:space="preserve">if RAN1 can agree to </w:t>
      </w:r>
      <w:r w:rsidR="00540C08" w:rsidRPr="00E24A79">
        <w:rPr>
          <w:b/>
          <w:bCs/>
        </w:rPr>
        <w:t xml:space="preserve">add it in </w:t>
      </w:r>
      <w:r w:rsidR="009F4F1C" w:rsidRPr="00E24A79">
        <w:rPr>
          <w:b/>
          <w:bCs/>
          <w:i/>
          <w:iCs/>
        </w:rPr>
        <w:t>CSI-</w:t>
      </w:r>
      <w:proofErr w:type="spellStart"/>
      <w:r w:rsidR="009F4F1C" w:rsidRPr="00E24A79">
        <w:rPr>
          <w:b/>
          <w:bCs/>
          <w:i/>
          <w:iCs/>
        </w:rPr>
        <w:t>AssociatedReportConfigInfo</w:t>
      </w:r>
      <w:proofErr w:type="spellEnd"/>
      <w:r w:rsidR="009F4F1C" w:rsidRPr="00E24A79">
        <w:rPr>
          <w:b/>
          <w:bCs/>
          <w:i/>
          <w:iCs/>
        </w:rPr>
        <w:t>,</w:t>
      </w:r>
      <w:r w:rsidR="009F4F1C" w:rsidRPr="00E24A79">
        <w:rPr>
          <w:b/>
          <w:bCs/>
        </w:rPr>
        <w:t xml:space="preserve"> </w:t>
      </w:r>
      <w:r w:rsidR="00F479BB" w:rsidRPr="00E24A79">
        <w:rPr>
          <w:b/>
          <w:bCs/>
        </w:rPr>
        <w:t xml:space="preserve">there is no need to </w:t>
      </w:r>
      <w:r w:rsidR="00C62489" w:rsidRPr="00E24A79">
        <w:rPr>
          <w:b/>
          <w:bCs/>
        </w:rPr>
        <w:t>consider the case of multiple</w:t>
      </w:r>
      <w:r w:rsidR="001C192F" w:rsidRPr="00E24A79">
        <w:rPr>
          <w:b/>
          <w:bCs/>
        </w:rPr>
        <w:t xml:space="preserve"> CSI reports</w:t>
      </w:r>
      <w:r w:rsidR="00667677">
        <w:rPr>
          <w:b/>
          <w:bCs/>
        </w:rPr>
        <w:t>, as this is left to network implementation</w:t>
      </w:r>
      <w:r w:rsidR="00E24A79" w:rsidRPr="00E24A79">
        <w:rPr>
          <w:b/>
          <w:bCs/>
        </w:rPr>
        <w:t>.</w:t>
      </w:r>
      <w:bookmarkEnd w:id="19"/>
    </w:p>
    <w:p w14:paraId="01141C39" w14:textId="2E1BC25B" w:rsidR="00F96FEC" w:rsidRPr="00736874" w:rsidRDefault="00D3659E" w:rsidP="0099304C">
      <w:pPr>
        <w:pStyle w:val="ListParagraph"/>
        <w:numPr>
          <w:ilvl w:val="0"/>
          <w:numId w:val="44"/>
        </w:numPr>
        <w:spacing w:after="180"/>
        <w:ind w:left="1276"/>
        <w:contextualSpacing w:val="0"/>
        <w:rPr>
          <w:b/>
          <w:bCs/>
        </w:rPr>
      </w:pPr>
      <w:bookmarkStart w:id="20" w:name="_Ref181986431"/>
      <w:r w:rsidRPr="00736874">
        <w:rPr>
          <w:b/>
          <w:bCs/>
        </w:rPr>
        <w:t>Support inclu</w:t>
      </w:r>
      <w:r w:rsidR="00D94972" w:rsidRPr="00736874">
        <w:rPr>
          <w:b/>
          <w:bCs/>
        </w:rPr>
        <w:t xml:space="preserve">ding </w:t>
      </w:r>
      <w:r w:rsidR="00D8582C" w:rsidRPr="00736874">
        <w:rPr>
          <w:b/>
          <w:bCs/>
        </w:rPr>
        <w:t>the</w:t>
      </w:r>
      <w:r w:rsidR="00697111" w:rsidRPr="00736874">
        <w:rPr>
          <w:b/>
          <w:bCs/>
        </w:rPr>
        <w:t xml:space="preserve"> 1-bit indication </w:t>
      </w:r>
      <w:r w:rsidR="005F0C54" w:rsidRPr="00736874">
        <w:rPr>
          <w:b/>
          <w:bCs/>
        </w:rPr>
        <w:t xml:space="preserve">in </w:t>
      </w:r>
      <w:r w:rsidR="003530EB" w:rsidRPr="00736874">
        <w:rPr>
          <w:b/>
          <w:bCs/>
        </w:rPr>
        <w:t xml:space="preserve">a </w:t>
      </w:r>
      <w:r w:rsidR="00736874" w:rsidRPr="00736874">
        <w:rPr>
          <w:b/>
          <w:bCs/>
        </w:rPr>
        <w:t xml:space="preserve">CJT </w:t>
      </w:r>
      <w:r w:rsidR="00B20D85" w:rsidRPr="00736874">
        <w:rPr>
          <w:b/>
          <w:bCs/>
          <w:i/>
          <w:iCs/>
        </w:rPr>
        <w:t>CSI-</w:t>
      </w:r>
      <w:proofErr w:type="spellStart"/>
      <w:r w:rsidR="00B20D85" w:rsidRPr="00736874">
        <w:rPr>
          <w:b/>
          <w:bCs/>
          <w:i/>
          <w:iCs/>
        </w:rPr>
        <w:t>AssociatedReportConfigInfo</w:t>
      </w:r>
      <w:proofErr w:type="spellEnd"/>
      <w:r w:rsidR="005F0C54" w:rsidRPr="00736874">
        <w:rPr>
          <w:b/>
          <w:bCs/>
        </w:rPr>
        <w:t xml:space="preserve"> </w:t>
      </w:r>
      <w:r w:rsidR="002A0FE8" w:rsidRPr="00736874">
        <w:rPr>
          <w:b/>
          <w:bCs/>
        </w:rPr>
        <w:t>of a trigger state</w:t>
      </w:r>
      <w:r w:rsidR="00736874" w:rsidRPr="00736874">
        <w:rPr>
          <w:b/>
          <w:bCs/>
        </w:rPr>
        <w:t>.</w:t>
      </w:r>
      <w:bookmarkEnd w:id="20"/>
    </w:p>
    <w:p w14:paraId="27D91B80" w14:textId="26F1E23B" w:rsidR="00B85531" w:rsidRDefault="00C46052" w:rsidP="00D7371E">
      <w:r>
        <w:t>Therefore, there is no need to specify</w:t>
      </w:r>
      <w:r w:rsidR="005A6E2E">
        <w:t xml:space="preserve"> how </w:t>
      </w:r>
      <w:r w:rsidR="00653517">
        <w:t xml:space="preserve">the 1-bit indicator applies </w:t>
      </w:r>
      <w:r w:rsidR="004C351B">
        <w:t xml:space="preserve">to multiple CJT CSI reports </w:t>
      </w:r>
      <w:r w:rsidR="002E5A90">
        <w:t>associated to the same trigger state</w:t>
      </w:r>
      <w:r w:rsidR="00D2395A">
        <w:t>,</w:t>
      </w:r>
      <w:r w:rsidR="00907C2B">
        <w:t xml:space="preserve"> because each such report</w:t>
      </w:r>
      <w:r w:rsidR="004B6542">
        <w:t xml:space="preserve"> </w:t>
      </w:r>
      <w:r w:rsidR="00FA6038">
        <w:t xml:space="preserve">in the trigger state </w:t>
      </w:r>
      <w:r w:rsidR="004B6542">
        <w:t xml:space="preserve">can be configured </w:t>
      </w:r>
      <w:r w:rsidR="001C5183">
        <w:t>with its own</w:t>
      </w:r>
      <w:r w:rsidR="000A6A4E">
        <w:t xml:space="preserve"> 1-bit indicator</w:t>
      </w:r>
      <w:r w:rsidR="001E194F">
        <w:t>.</w:t>
      </w:r>
      <w:r w:rsidR="000A6A4E">
        <w:t xml:space="preserve"> </w:t>
      </w:r>
    </w:p>
    <w:p w14:paraId="562BB5B8" w14:textId="6F70DB01" w:rsidR="006556E9" w:rsidRDefault="004D6717" w:rsidP="00D7371E">
      <w:r>
        <w:t xml:space="preserve">Regarding </w:t>
      </w:r>
      <w:r w:rsidR="00D11101">
        <w:t xml:space="preserve">whether the 1-bit indicator should be </w:t>
      </w:r>
      <w:r w:rsidR="000D5215">
        <w:t>resource common or specific, our preference is for it to be</w:t>
      </w:r>
      <w:r w:rsidR="00F11B8B">
        <w:t xml:space="preserve"> resource specific</w:t>
      </w:r>
      <w:r w:rsidR="00AD7C24">
        <w:t xml:space="preserve"> to </w:t>
      </w:r>
      <w:r w:rsidR="00CC15F8">
        <w:t xml:space="preserve">allow </w:t>
      </w:r>
      <w:r w:rsidR="00FC7F1A">
        <w:t>more</w:t>
      </w:r>
      <w:r w:rsidR="00853363">
        <w:t xml:space="preserve"> </w:t>
      </w:r>
      <w:r w:rsidR="00C27FD7">
        <w:t xml:space="preserve">network </w:t>
      </w:r>
      <w:r w:rsidR="00853363">
        <w:t>flexibi</w:t>
      </w:r>
      <w:r w:rsidR="007B4CA7">
        <w:t>lity</w:t>
      </w:r>
      <w:r w:rsidR="00C27FD7">
        <w:t>. With resource-specific</w:t>
      </w:r>
      <w:r w:rsidR="00612406">
        <w:t xml:space="preserve"> 1-bit indication, the </w:t>
      </w:r>
      <w:r w:rsidR="004851EC">
        <w:t xml:space="preserve">network can </w:t>
      </w:r>
      <w:r w:rsidR="00C245BF">
        <w:t xml:space="preserve">pre-compensate some CSI-RS resources for delay </w:t>
      </w:r>
      <w:r w:rsidR="00066CB7">
        <w:t xml:space="preserve">and </w:t>
      </w:r>
      <w:r w:rsidR="00C63F6E">
        <w:t>let other</w:t>
      </w:r>
      <w:r w:rsidR="00F2594A">
        <w:t xml:space="preserve"> resources be compensated by a UE</w:t>
      </w:r>
      <w:r w:rsidR="0059625A">
        <w:t xml:space="preserve"> when calculating a CJT CSI. </w:t>
      </w:r>
      <w:r w:rsidR="002404B7">
        <w:t xml:space="preserve">In fact, </w:t>
      </w:r>
      <w:r w:rsidR="00451D25">
        <w:t xml:space="preserve">supporting </w:t>
      </w:r>
      <w:r w:rsidR="004B2B17">
        <w:t xml:space="preserve">joint CJT CSI and </w:t>
      </w:r>
      <w:r w:rsidR="005E6C8B">
        <w:t xml:space="preserve">CJT Dd reporting is a </w:t>
      </w:r>
      <w:r w:rsidR="00E03138">
        <w:t>UE capability that may not be supported by some UEs.</w:t>
      </w:r>
      <w:r w:rsidR="00816CAD">
        <w:t xml:space="preserve"> Hence, the network may have to pre-compensate some C</w:t>
      </w:r>
      <w:r w:rsidR="004817EA">
        <w:t>SI-RS</w:t>
      </w:r>
      <w:r w:rsidR="000212CA">
        <w:t xml:space="preserve"> for delay</w:t>
      </w:r>
      <w:r w:rsidR="004C26E7">
        <w:t xml:space="preserve"> for UEs that do not support </w:t>
      </w:r>
      <w:r w:rsidR="009F675E">
        <w:t>joint CJT</w:t>
      </w:r>
      <w:r w:rsidR="00973D60">
        <w:t>-</w:t>
      </w:r>
      <w:r w:rsidR="009F675E">
        <w:t xml:space="preserve">Dd and </w:t>
      </w:r>
      <w:r w:rsidR="00973D60">
        <w:t>-</w:t>
      </w:r>
      <w:r w:rsidR="009F675E">
        <w:t>CSI</w:t>
      </w:r>
      <w:r w:rsidR="00973D60">
        <w:t xml:space="preserve"> reporting</w:t>
      </w:r>
      <w:r w:rsidR="004555E6">
        <w:t>. This operation may be done, for example on 2 CSI-RS resources</w:t>
      </w:r>
      <w:r w:rsidR="0015318D">
        <w:t xml:space="preserve"> such that </w:t>
      </w:r>
      <w:r w:rsidR="00921048">
        <w:t xml:space="preserve">UEs without joint capability </w:t>
      </w:r>
      <w:r w:rsidR="00B37056">
        <w:t xml:space="preserve">can be configured with CJT measurement </w:t>
      </w:r>
      <w:r w:rsidR="00D138F4">
        <w:t>on 2 TRPs</w:t>
      </w:r>
      <w:r w:rsidR="00054EA1">
        <w:t>.</w:t>
      </w:r>
      <w:r w:rsidR="00043447">
        <w:t xml:space="preserve"> UEs that support </w:t>
      </w:r>
      <w:r w:rsidR="003B7EEC">
        <w:t xml:space="preserve">joint CJT-Dd and -CSI may </w:t>
      </w:r>
      <w:r w:rsidR="0015318D">
        <w:t>be configure</w:t>
      </w:r>
      <w:r w:rsidR="00A332C3">
        <w:t>d to measure</w:t>
      </w:r>
      <w:r w:rsidR="0072145E">
        <w:t xml:space="preserve"> additional TRPs, for example</w:t>
      </w:r>
      <w:r w:rsidR="00E747A6">
        <w:t xml:space="preserve"> 4 in total, </w:t>
      </w:r>
      <w:r w:rsidR="009609D0">
        <w:t xml:space="preserve">and </w:t>
      </w:r>
      <w:r w:rsidR="00217311">
        <w:t>indicated to apply delay offset compensation only on 2 out of 4 resources.</w:t>
      </w:r>
    </w:p>
    <w:p w14:paraId="197C25FB" w14:textId="07638D4F" w:rsidR="00217311" w:rsidRPr="009864C5" w:rsidRDefault="0078668B" w:rsidP="0099304C">
      <w:pPr>
        <w:pStyle w:val="ListParagraph"/>
        <w:numPr>
          <w:ilvl w:val="0"/>
          <w:numId w:val="43"/>
        </w:numPr>
        <w:spacing w:after="180"/>
        <w:ind w:left="1701"/>
        <w:contextualSpacing w:val="0"/>
        <w:rPr>
          <w:b/>
          <w:bCs/>
        </w:rPr>
      </w:pPr>
      <w:bookmarkStart w:id="21" w:name="_Ref181986337"/>
      <w:r w:rsidRPr="009864C5">
        <w:rPr>
          <w:b/>
          <w:bCs/>
        </w:rPr>
        <w:t>A resource</w:t>
      </w:r>
      <w:r w:rsidR="00C0739D" w:rsidRPr="009864C5">
        <w:rPr>
          <w:b/>
          <w:bCs/>
        </w:rPr>
        <w:t>-specific 1-bit indication</w:t>
      </w:r>
      <w:r w:rsidR="00F5051F" w:rsidRPr="009864C5">
        <w:rPr>
          <w:b/>
          <w:bCs/>
        </w:rPr>
        <w:t xml:space="preserve"> allows the</w:t>
      </w:r>
      <w:r w:rsidR="00D142C0" w:rsidRPr="009864C5">
        <w:rPr>
          <w:b/>
          <w:bCs/>
        </w:rPr>
        <w:t xml:space="preserve"> fle</w:t>
      </w:r>
      <w:r w:rsidR="00805F58" w:rsidRPr="009864C5">
        <w:rPr>
          <w:b/>
          <w:bCs/>
        </w:rPr>
        <w:t xml:space="preserve">xibility for the network to </w:t>
      </w:r>
      <w:r w:rsidR="001E5C04" w:rsidRPr="009864C5">
        <w:rPr>
          <w:b/>
          <w:bCs/>
        </w:rPr>
        <w:t>pre-compensate some</w:t>
      </w:r>
      <w:r w:rsidR="00591804" w:rsidRPr="009864C5">
        <w:rPr>
          <w:b/>
          <w:bCs/>
        </w:rPr>
        <w:t xml:space="preserve"> TRPs for delay</w:t>
      </w:r>
      <w:r w:rsidR="001E5C04" w:rsidRPr="009864C5">
        <w:rPr>
          <w:b/>
          <w:bCs/>
        </w:rPr>
        <w:t xml:space="preserve"> </w:t>
      </w:r>
      <w:r w:rsidR="00162C96" w:rsidRPr="009864C5">
        <w:rPr>
          <w:b/>
          <w:bCs/>
        </w:rPr>
        <w:t>and configure them for both UEs</w:t>
      </w:r>
      <w:r w:rsidR="008C767E" w:rsidRPr="009864C5">
        <w:rPr>
          <w:b/>
          <w:bCs/>
        </w:rPr>
        <w:t xml:space="preserve"> that</w:t>
      </w:r>
      <w:r w:rsidR="00762EA2" w:rsidRPr="009864C5">
        <w:rPr>
          <w:b/>
          <w:bCs/>
        </w:rPr>
        <w:t xml:space="preserve"> </w:t>
      </w:r>
      <w:r w:rsidR="0003459D" w:rsidRPr="009864C5">
        <w:rPr>
          <w:b/>
          <w:bCs/>
        </w:rPr>
        <w:t>do not support</w:t>
      </w:r>
      <w:r w:rsidR="008C767E" w:rsidRPr="009864C5">
        <w:rPr>
          <w:b/>
          <w:bCs/>
        </w:rPr>
        <w:t xml:space="preserve"> </w:t>
      </w:r>
      <w:r w:rsidR="00762EA2" w:rsidRPr="009864C5">
        <w:rPr>
          <w:b/>
          <w:bCs/>
        </w:rPr>
        <w:t>joint CJT-Dd and -CSI reporting</w:t>
      </w:r>
      <w:r w:rsidR="008C767E" w:rsidRPr="009864C5">
        <w:rPr>
          <w:b/>
          <w:bCs/>
        </w:rPr>
        <w:t xml:space="preserve"> </w:t>
      </w:r>
      <w:r w:rsidR="0003459D" w:rsidRPr="009864C5">
        <w:rPr>
          <w:b/>
          <w:bCs/>
        </w:rPr>
        <w:t>and UEs with</w:t>
      </w:r>
      <w:r w:rsidR="005B090D" w:rsidRPr="009864C5">
        <w:rPr>
          <w:b/>
          <w:bCs/>
        </w:rPr>
        <w:t xml:space="preserve"> that capability. Additional </w:t>
      </w:r>
      <w:r w:rsidR="00CC6E7E" w:rsidRPr="009864C5">
        <w:rPr>
          <w:b/>
          <w:bCs/>
        </w:rPr>
        <w:t xml:space="preserve">TRPs can be configured for </w:t>
      </w:r>
      <w:r w:rsidR="005B270C" w:rsidRPr="009864C5">
        <w:rPr>
          <w:b/>
          <w:bCs/>
        </w:rPr>
        <w:t>UEs that</w:t>
      </w:r>
      <w:r w:rsidR="00CE60C1" w:rsidRPr="009864C5">
        <w:rPr>
          <w:b/>
          <w:bCs/>
        </w:rPr>
        <w:t xml:space="preserve"> support joint CJT-Dd and -CSI reporting with </w:t>
      </w:r>
      <w:r w:rsidR="009D646E" w:rsidRPr="009864C5">
        <w:rPr>
          <w:b/>
          <w:bCs/>
        </w:rPr>
        <w:t xml:space="preserve">delay compensation performed </w:t>
      </w:r>
      <w:r w:rsidR="009864C5" w:rsidRPr="009864C5">
        <w:rPr>
          <w:b/>
          <w:bCs/>
        </w:rPr>
        <w:t>by the UE.</w:t>
      </w:r>
      <w:bookmarkEnd w:id="21"/>
    </w:p>
    <w:p w14:paraId="6F8B92DB" w14:textId="40F13107" w:rsidR="006556E9" w:rsidRDefault="00421862" w:rsidP="0099304C">
      <w:pPr>
        <w:pStyle w:val="ListParagraph"/>
        <w:numPr>
          <w:ilvl w:val="0"/>
          <w:numId w:val="44"/>
        </w:numPr>
        <w:ind w:left="1276"/>
      </w:pPr>
      <w:bookmarkStart w:id="22" w:name="_Ref181986442"/>
      <w:r w:rsidRPr="00A9226D">
        <w:rPr>
          <w:b/>
          <w:bCs/>
        </w:rPr>
        <w:t xml:space="preserve">Support </w:t>
      </w:r>
      <w:r w:rsidR="00313203" w:rsidRPr="00A9226D">
        <w:rPr>
          <w:b/>
          <w:bCs/>
        </w:rPr>
        <w:t>CSI-RS resource specific 1-bit indicator</w:t>
      </w:r>
      <w:r w:rsidR="005E1EDB" w:rsidRPr="00A9226D">
        <w:rPr>
          <w:b/>
          <w:bCs/>
        </w:rPr>
        <w:t xml:space="preserve"> for separately triggered CJT-Dd and CSI reports</w:t>
      </w:r>
      <w:r w:rsidR="000B2074">
        <w:t>.</w:t>
      </w:r>
      <w:bookmarkEnd w:id="22"/>
    </w:p>
    <w:p w14:paraId="00BC3B98" w14:textId="77777777" w:rsidR="006556E9" w:rsidRPr="008A35B1" w:rsidRDefault="006556E9" w:rsidP="00D7371E"/>
    <w:p w14:paraId="2B36960A" w14:textId="77777777" w:rsidR="001B47FE" w:rsidRPr="008A35B1" w:rsidRDefault="001B47FE" w:rsidP="00E0394C"/>
    <w:p w14:paraId="250A6DA0" w14:textId="2659F191" w:rsidR="008C3DA7" w:rsidRPr="008A35B1" w:rsidRDefault="008C3DA7">
      <w:pPr>
        <w:pStyle w:val="Heading2"/>
      </w:pPr>
      <w:bookmarkStart w:id="23" w:name="_Ref158884043"/>
      <w:bookmarkEnd w:id="2"/>
      <w:bookmarkEnd w:id="18"/>
      <w:r w:rsidRPr="008A35B1">
        <w:t>3.</w:t>
      </w:r>
      <w:r w:rsidR="008E38D3">
        <w:t>2</w:t>
      </w:r>
      <w:r w:rsidRPr="008A35B1">
        <w:tab/>
        <w:t>Other remaining issues</w:t>
      </w:r>
    </w:p>
    <w:p w14:paraId="33ABF158" w14:textId="1EF6F104" w:rsidR="005A3834" w:rsidRPr="008A35B1" w:rsidRDefault="006C4ADD" w:rsidP="005A3834">
      <w:r>
        <w:t>When</w:t>
      </w:r>
      <w:r w:rsidR="00F404A0">
        <w:t xml:space="preserve"> CJT</w:t>
      </w:r>
      <w:r w:rsidR="007D5783">
        <w:t xml:space="preserve"> calibration delay</w:t>
      </w:r>
      <w:r w:rsidR="001334BE">
        <w:t xml:space="preserve"> offset and CSI reports are jointly triggered, it was agreed i</w:t>
      </w:r>
      <w:r w:rsidR="00444295" w:rsidRPr="008A35B1">
        <w:t>n RAN1#118</w:t>
      </w:r>
      <w:r w:rsidR="00CE3FEB">
        <w:t>bis</w:t>
      </w:r>
      <w:r w:rsidR="00444295" w:rsidRPr="008A35B1">
        <w:t xml:space="preserve"> </w:t>
      </w:r>
      <w:r w:rsidR="001334BE">
        <w:t xml:space="preserve">to reuse the </w:t>
      </w:r>
      <w:r w:rsidR="004C3580">
        <w:t>same rules for CPU oc</w:t>
      </w:r>
      <w:r w:rsidR="00F80243">
        <w:t xml:space="preserve">cupation and </w:t>
      </w:r>
      <w:r w:rsidR="00017300">
        <w:t xml:space="preserve">active resource/ports counting as </w:t>
      </w:r>
      <w:r w:rsidR="003D7AD5">
        <w:t>Rel-18 CJT CSI</w:t>
      </w:r>
      <w:r w:rsidR="00E946C3">
        <w:t>.</w:t>
      </w:r>
    </w:p>
    <w:p w14:paraId="45A6BE6F" w14:textId="77777777" w:rsidR="008571F6" w:rsidRPr="008571F6" w:rsidRDefault="008571F6" w:rsidP="008571F6">
      <w:pPr>
        <w:snapToGrid w:val="0"/>
        <w:spacing w:after="0" w:line="240" w:lineRule="auto"/>
        <w:jc w:val="both"/>
        <w:rPr>
          <w:rFonts w:ascii="Times" w:eastAsia="Malgun Gothic" w:hAnsi="Times" w:cs="Times"/>
          <w:b/>
          <w:i/>
          <w:iCs/>
          <w:lang w:eastAsia="ko-KR"/>
        </w:rPr>
      </w:pPr>
      <w:r w:rsidRPr="008571F6">
        <w:rPr>
          <w:rFonts w:ascii="Times" w:eastAsia="Malgun Gothic" w:hAnsi="Times" w:cs="Times" w:hint="eastAsia"/>
          <w:b/>
          <w:i/>
          <w:iCs/>
          <w:highlight w:val="green"/>
          <w:lang w:eastAsia="ko-KR"/>
        </w:rPr>
        <w:t>Agreement</w:t>
      </w:r>
      <w:r w:rsidRPr="008571F6">
        <w:rPr>
          <w:rFonts w:ascii="Times" w:eastAsia="Batang" w:hAnsi="Times"/>
          <w:i/>
          <w:iCs/>
          <w:kern w:val="24"/>
          <w:highlight w:val="yellow"/>
          <w:lang w:val="en-US" w:eastAsia="en-GB"/>
        </w:rPr>
        <w:t>(RAN1#118bis)</w:t>
      </w:r>
    </w:p>
    <w:p w14:paraId="28E48AEE" w14:textId="77777777" w:rsidR="008571F6" w:rsidRPr="008571F6" w:rsidRDefault="008571F6" w:rsidP="008571F6">
      <w:pPr>
        <w:snapToGrid w:val="0"/>
        <w:spacing w:after="0" w:line="240" w:lineRule="auto"/>
        <w:rPr>
          <w:rFonts w:ascii="Times" w:eastAsia="Batang" w:hAnsi="Times"/>
          <w:i/>
          <w:iCs/>
        </w:rPr>
      </w:pPr>
      <w:r w:rsidRPr="008571F6">
        <w:rPr>
          <w:rFonts w:ascii="Times" w:eastAsia="Calibri" w:hAnsi="Times"/>
          <w:i/>
          <w:iCs/>
          <w:szCs w:val="24"/>
        </w:rPr>
        <w:t>For the Rel-19 aperiodic standalone CJT calibration (CJTC) reporting,</w:t>
      </w:r>
      <w:r w:rsidRPr="008571F6">
        <w:rPr>
          <w:rFonts w:ascii="Times" w:eastAsia="Batang" w:hAnsi="Times"/>
          <w:i/>
          <w:iCs/>
        </w:rPr>
        <w:t xml:space="preserve"> when linking CJTC Dd and Rel-18 </w:t>
      </w:r>
      <w:proofErr w:type="spellStart"/>
      <w:r w:rsidRPr="008571F6">
        <w:rPr>
          <w:rFonts w:ascii="Times" w:eastAsia="Batang" w:hAnsi="Times"/>
          <w:i/>
          <w:iCs/>
        </w:rPr>
        <w:t>eType</w:t>
      </w:r>
      <w:proofErr w:type="spellEnd"/>
      <w:r w:rsidRPr="008571F6">
        <w:rPr>
          <w:rFonts w:ascii="Times" w:eastAsia="Batang" w:hAnsi="Times"/>
          <w:i/>
          <w:iCs/>
        </w:rPr>
        <w:t>-II CJT CSI reports is configured with a joint trigger:</w:t>
      </w:r>
    </w:p>
    <w:p w14:paraId="62B2A7CC" w14:textId="77777777" w:rsidR="008571F6" w:rsidRPr="008571F6" w:rsidRDefault="008571F6" w:rsidP="008571F6">
      <w:pPr>
        <w:numPr>
          <w:ilvl w:val="0"/>
          <w:numId w:val="50"/>
        </w:numPr>
        <w:snapToGrid w:val="0"/>
        <w:spacing w:after="0" w:line="240" w:lineRule="auto"/>
        <w:rPr>
          <w:rFonts w:ascii="Times" w:eastAsia="Batang" w:hAnsi="Times"/>
          <w:i/>
          <w:iCs/>
          <w:lang w:eastAsia="x-none"/>
        </w:rPr>
      </w:pPr>
      <w:r w:rsidRPr="008571F6">
        <w:rPr>
          <w:rFonts w:ascii="Times" w:eastAsia="DengXian" w:hAnsi="Times"/>
          <w:bCs/>
          <w:i/>
          <w:iCs/>
          <w:lang w:eastAsia="zh-CN"/>
        </w:rPr>
        <w:t xml:space="preserve">Reuse the CPU occupation and active resource counting for the Rel-18 </w:t>
      </w:r>
      <w:proofErr w:type="spellStart"/>
      <w:r w:rsidRPr="008571F6">
        <w:rPr>
          <w:rFonts w:ascii="Times" w:eastAsia="DengXian" w:hAnsi="Times"/>
          <w:bCs/>
          <w:i/>
          <w:iCs/>
          <w:lang w:eastAsia="zh-CN"/>
        </w:rPr>
        <w:t>eType</w:t>
      </w:r>
      <w:proofErr w:type="spellEnd"/>
      <w:r w:rsidRPr="008571F6">
        <w:rPr>
          <w:rFonts w:ascii="Times" w:eastAsia="DengXian" w:hAnsi="Times"/>
          <w:bCs/>
          <w:i/>
          <w:iCs/>
          <w:lang w:eastAsia="zh-CN"/>
        </w:rPr>
        <w:t>-II CJT</w:t>
      </w:r>
    </w:p>
    <w:p w14:paraId="611A0DA1" w14:textId="7ADC270E" w:rsidR="00F2327D" w:rsidRPr="008A35B1" w:rsidRDefault="008571F6" w:rsidP="008571F6">
      <w:pPr>
        <w:snapToGrid w:val="0"/>
        <w:spacing w:after="180" w:line="240" w:lineRule="auto"/>
        <w:rPr>
          <w:rFonts w:ascii="Times" w:eastAsia="Batang" w:hAnsi="Times"/>
          <w:szCs w:val="24"/>
        </w:rPr>
      </w:pPr>
      <w:r w:rsidRPr="008571F6">
        <w:rPr>
          <w:rFonts w:ascii="Times" w:eastAsia="Batang" w:hAnsi="Times"/>
          <w:i/>
          <w:iCs/>
          <w:lang w:eastAsia="x-none"/>
        </w:rPr>
        <w:t xml:space="preserve">FFS (RAN1#119): Re timeline, decide whether to reuse or further relax the timeline </w:t>
      </w:r>
      <w:r w:rsidRPr="008571F6">
        <w:rPr>
          <w:rFonts w:ascii="Times" w:eastAsia="DengXian" w:hAnsi="Times"/>
          <w:bCs/>
          <w:i/>
          <w:iCs/>
          <w:lang w:eastAsia="zh-CN"/>
        </w:rPr>
        <w:t xml:space="preserve">for the Rel-18 </w:t>
      </w:r>
      <w:proofErr w:type="spellStart"/>
      <w:r w:rsidRPr="008571F6">
        <w:rPr>
          <w:rFonts w:ascii="Times" w:eastAsia="DengXian" w:hAnsi="Times"/>
          <w:bCs/>
          <w:i/>
          <w:iCs/>
          <w:lang w:eastAsia="zh-CN"/>
        </w:rPr>
        <w:t>eType</w:t>
      </w:r>
      <w:proofErr w:type="spellEnd"/>
      <w:r w:rsidRPr="008571F6">
        <w:rPr>
          <w:rFonts w:ascii="Times" w:eastAsia="DengXian" w:hAnsi="Times"/>
          <w:bCs/>
          <w:i/>
          <w:iCs/>
          <w:lang w:eastAsia="zh-CN"/>
        </w:rPr>
        <w:t>-II CJT</w:t>
      </w:r>
    </w:p>
    <w:p w14:paraId="06E4ADEC" w14:textId="7746478A" w:rsidR="00816FDB" w:rsidRPr="008A35B1" w:rsidRDefault="00E946C3" w:rsidP="005A3834">
      <w:r>
        <w:t>Regarding the timeline</w:t>
      </w:r>
      <w:r w:rsidR="007504F6">
        <w:t xml:space="preserve">, </w:t>
      </w:r>
      <w:r w:rsidR="007E7053">
        <w:t xml:space="preserve">the minimum latency requirements for CJT CSI </w:t>
      </w:r>
      <w:r w:rsidR="00A26035">
        <w:t xml:space="preserve">should also be sufficient for a UE to </w:t>
      </w:r>
      <w:r w:rsidR="00700345">
        <w:t xml:space="preserve">calculate </w:t>
      </w:r>
      <w:r w:rsidR="00AA5400">
        <w:t>delay offsets</w:t>
      </w:r>
      <w:r w:rsidR="008C5521">
        <w:t xml:space="preserve">, </w:t>
      </w:r>
      <w:r w:rsidR="0024137F">
        <w:t xml:space="preserve">which </w:t>
      </w:r>
      <w:r w:rsidR="008C3A49">
        <w:t>is a low-complexity operation</w:t>
      </w:r>
      <w:r w:rsidR="0027104D">
        <w:t xml:space="preserve">. </w:t>
      </w:r>
      <w:r w:rsidR="00790570">
        <w:t>A simple and</w:t>
      </w:r>
      <w:r w:rsidR="00373233">
        <w:t xml:space="preserve"> </w:t>
      </w:r>
      <w:r w:rsidR="0031605B">
        <w:t>r</w:t>
      </w:r>
      <w:r w:rsidR="00365E6F">
        <w:t>easonably short</w:t>
      </w:r>
      <w:r w:rsidR="00790570">
        <w:t xml:space="preserve"> relaxation of the</w:t>
      </w:r>
      <w:r w:rsidR="008B1950">
        <w:t xml:space="preserve"> timeline can be considered, by adding an additive term</w:t>
      </w:r>
      <w:r w:rsidR="008220F0">
        <w:t xml:space="preserve"> to the Rel-18 CJT CSI </w:t>
      </w:r>
      <w:r w:rsidR="00D3032A">
        <w:t>Z/Z’ values.</w:t>
      </w:r>
    </w:p>
    <w:p w14:paraId="549F92D1" w14:textId="68CC13CF" w:rsidR="00871516" w:rsidRPr="008A35B1" w:rsidRDefault="00D3032A" w:rsidP="0099304C">
      <w:pPr>
        <w:pStyle w:val="ListParagraph"/>
        <w:numPr>
          <w:ilvl w:val="0"/>
          <w:numId w:val="44"/>
        </w:numPr>
        <w:spacing w:after="180"/>
        <w:ind w:left="1276"/>
        <w:contextualSpacing w:val="0"/>
        <w:rPr>
          <w:b/>
          <w:bCs/>
        </w:rPr>
      </w:pPr>
      <w:bookmarkStart w:id="24" w:name="_Ref178949453"/>
      <w:r>
        <w:rPr>
          <w:b/>
          <w:bCs/>
        </w:rPr>
        <w:t xml:space="preserve">Regarding the timeline for </w:t>
      </w:r>
      <w:r w:rsidR="00BC144B">
        <w:rPr>
          <w:b/>
          <w:bCs/>
        </w:rPr>
        <w:t>jointly triggered CJTC-Dd and CJT CSI reports</w:t>
      </w:r>
      <w:r w:rsidR="00411734">
        <w:rPr>
          <w:b/>
          <w:bCs/>
        </w:rPr>
        <w:t>, reuse the CJT CSI timeline or introduce</w:t>
      </w:r>
      <w:r w:rsidR="00430E47">
        <w:rPr>
          <w:b/>
          <w:bCs/>
        </w:rPr>
        <w:t xml:space="preserve"> a </w:t>
      </w:r>
      <w:r w:rsidR="00174CC4">
        <w:rPr>
          <w:b/>
          <w:bCs/>
        </w:rPr>
        <w:t xml:space="preserve">small </w:t>
      </w:r>
      <w:r w:rsidR="008E2E4B">
        <w:rPr>
          <w:b/>
          <w:bCs/>
        </w:rPr>
        <w:t xml:space="preserve">additional </w:t>
      </w:r>
      <w:r w:rsidR="006D00F3">
        <w:rPr>
          <w:b/>
          <w:bCs/>
        </w:rPr>
        <w:t>relaxation</w:t>
      </w:r>
      <w:r w:rsidR="00D8416E">
        <w:rPr>
          <w:b/>
          <w:bCs/>
        </w:rPr>
        <w:t xml:space="preserve"> </w:t>
      </w:r>
      <w:r w:rsidR="001D05B2">
        <w:rPr>
          <w:b/>
          <w:bCs/>
        </w:rPr>
        <w:t>added to the CJT CSI</w:t>
      </w:r>
      <w:r w:rsidR="00094E25">
        <w:rPr>
          <w:b/>
          <w:bCs/>
        </w:rPr>
        <w:t xml:space="preserve"> values for Z/Z’</w:t>
      </w:r>
      <w:r w:rsidR="00AD0B85" w:rsidRPr="008A35B1">
        <w:rPr>
          <w:b/>
          <w:bCs/>
        </w:rPr>
        <w:t>.</w:t>
      </w:r>
      <w:bookmarkEnd w:id="24"/>
    </w:p>
    <w:p w14:paraId="54126D79" w14:textId="77777777" w:rsidR="00F2327D" w:rsidRPr="008A35B1" w:rsidRDefault="00F2327D" w:rsidP="005A3834"/>
    <w:p w14:paraId="0B24D7F2" w14:textId="077AC853" w:rsidR="00B91A48" w:rsidRPr="008A35B1" w:rsidRDefault="005C53C2" w:rsidP="00B91A48">
      <w:pPr>
        <w:pStyle w:val="Heading1"/>
      </w:pPr>
      <w:r w:rsidRPr="008A35B1">
        <w:t>4</w:t>
      </w:r>
      <w:r w:rsidR="00B91A48" w:rsidRPr="008A35B1">
        <w:tab/>
        <w:t>Conclusion</w:t>
      </w:r>
    </w:p>
    <w:p w14:paraId="1F7D0428" w14:textId="446CF5E4" w:rsidR="00B91A48" w:rsidRPr="008A35B1" w:rsidRDefault="00B11AD0" w:rsidP="00B91A48">
      <w:pPr>
        <w:jc w:val="both"/>
        <w:rPr>
          <w:u w:val="single"/>
        </w:rPr>
      </w:pPr>
      <w:r w:rsidRPr="008A35B1">
        <w:rPr>
          <w:u w:val="single"/>
        </w:rPr>
        <w:t xml:space="preserve">Hereafter is a summary of observations and proposals for </w:t>
      </w:r>
      <w:r w:rsidR="00C349B1" w:rsidRPr="008A35B1">
        <w:rPr>
          <w:u w:val="single"/>
        </w:rPr>
        <w:t xml:space="preserve">Type-I </w:t>
      </w:r>
      <w:r w:rsidR="0054400F" w:rsidRPr="008A35B1">
        <w:rPr>
          <w:u w:val="single"/>
        </w:rPr>
        <w:t>extension</w:t>
      </w:r>
      <w:r w:rsidR="00C349B1" w:rsidRPr="008A35B1">
        <w:rPr>
          <w:u w:val="single"/>
        </w:rPr>
        <w:t xml:space="preserve"> for up to 128 ports</w:t>
      </w:r>
    </w:p>
    <w:p w14:paraId="3E843E49" w14:textId="67512F84" w:rsidR="00C10640" w:rsidRDefault="008A3C2B" w:rsidP="00947E79">
      <w:pPr>
        <w:ind w:left="1418" w:hanging="1418"/>
        <w:jc w:val="both"/>
        <w:rPr>
          <w:b/>
          <w:bCs/>
        </w:rPr>
      </w:pPr>
      <w:r>
        <w:rPr>
          <w:b/>
          <w:bCs/>
        </w:rPr>
        <w:fldChar w:fldCharType="begin"/>
      </w:r>
      <w:r>
        <w:rPr>
          <w:b/>
          <w:bCs/>
        </w:rPr>
        <w:instrText xml:space="preserve"> REF _Ref181986201 \r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_Ref181986201 \h </w:instrText>
      </w:r>
      <w:r>
        <w:rPr>
          <w:b/>
          <w:bCs/>
        </w:rPr>
      </w:r>
      <w:r>
        <w:rPr>
          <w:b/>
          <w:bCs/>
        </w:rPr>
        <w:fldChar w:fldCharType="separate"/>
      </w:r>
      <w:r w:rsidRPr="00236799">
        <w:rPr>
          <w:b/>
          <w:bCs/>
        </w:rPr>
        <w:t xml:space="preserve">With Alt A, for a single-layer beam selected in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Pr="00236799">
        <w:rPr>
          <w:b/>
          <w:bCs/>
        </w:rPr>
        <w:t>, the transmit power restriction for this beam is 3dB lower for a rank-2 transmission than it is for the same beam in a rank-1 transmission. It is also 3dB lower than the power restriction for the same beam supporting two layers.</w:t>
      </w:r>
      <w:r>
        <w:rPr>
          <w:b/>
          <w:bCs/>
        </w:rPr>
        <w:fldChar w:fldCharType="end"/>
      </w:r>
    </w:p>
    <w:p w14:paraId="72A0C4C3" w14:textId="19F8D266" w:rsidR="008A3C2B" w:rsidRDefault="008A3C2B" w:rsidP="00947E79">
      <w:pPr>
        <w:ind w:left="1418" w:hanging="1418"/>
        <w:jc w:val="both"/>
        <w:rPr>
          <w:b/>
          <w:bCs/>
        </w:rPr>
      </w:pPr>
      <w:r>
        <w:rPr>
          <w:b/>
          <w:bCs/>
        </w:rPr>
        <w:fldChar w:fldCharType="begin"/>
      </w:r>
      <w:r>
        <w:rPr>
          <w:b/>
          <w:bCs/>
        </w:rPr>
        <w:instrText xml:space="preserve"> REF _Ref181986217 \r \h </w:instrText>
      </w:r>
      <w:r>
        <w:rPr>
          <w:b/>
          <w:bCs/>
        </w:rPr>
      </w:r>
      <w:r>
        <w:rPr>
          <w:b/>
          <w:bCs/>
        </w:rPr>
        <w:fldChar w:fldCharType="separate"/>
      </w:r>
      <w:r>
        <w:rPr>
          <w:b/>
          <w:bCs/>
        </w:rPr>
        <w:t>Observation 2</w:t>
      </w:r>
      <w:r>
        <w:rPr>
          <w:b/>
          <w:bCs/>
        </w:rPr>
        <w:fldChar w:fldCharType="end"/>
      </w:r>
      <w:r>
        <w:rPr>
          <w:b/>
          <w:bCs/>
        </w:rPr>
        <w:tab/>
      </w:r>
      <w:r>
        <w:rPr>
          <w:b/>
          <w:bCs/>
        </w:rPr>
        <w:fldChar w:fldCharType="begin"/>
      </w:r>
      <w:r>
        <w:rPr>
          <w:b/>
          <w:bCs/>
        </w:rPr>
        <w:instrText xml:space="preserve"> REF _Ref181986217 \h </w:instrText>
      </w:r>
      <w:r>
        <w:rPr>
          <w:b/>
          <w:bCs/>
        </w:rPr>
      </w:r>
      <w:r>
        <w:rPr>
          <w:b/>
          <w:bCs/>
        </w:rPr>
        <w:fldChar w:fldCharType="separate"/>
      </w:r>
      <w:r w:rsidRPr="00EF4045">
        <w:rPr>
          <w:b/>
          <w:bCs/>
        </w:rPr>
        <w:t>With Alt B, the power restriction configured for a beam is independent of the transmission rank and the number of layers supported by this beam, which allows the network to configure the scaling values to ensure a desired maximum transmit power on certain beams regardless of rank and beam multiplicity.</w:t>
      </w:r>
      <w:r>
        <w:rPr>
          <w:b/>
          <w:bCs/>
        </w:rPr>
        <w:fldChar w:fldCharType="end"/>
      </w:r>
    </w:p>
    <w:p w14:paraId="64567BD5" w14:textId="7CA9FFA3" w:rsidR="008A3C2B" w:rsidRDefault="008A3C2B" w:rsidP="00947E79">
      <w:pPr>
        <w:ind w:left="1418" w:hanging="1418"/>
        <w:jc w:val="both"/>
        <w:rPr>
          <w:b/>
          <w:bCs/>
        </w:rPr>
      </w:pPr>
      <w:r>
        <w:rPr>
          <w:b/>
          <w:bCs/>
        </w:rPr>
        <w:fldChar w:fldCharType="begin"/>
      </w:r>
      <w:r>
        <w:rPr>
          <w:b/>
          <w:bCs/>
        </w:rPr>
        <w:instrText xml:space="preserve"> REF _Ref181986228 \r \h </w:instrText>
      </w:r>
      <w:r>
        <w:rPr>
          <w:b/>
          <w:bCs/>
        </w:rPr>
      </w:r>
      <w:r>
        <w:rPr>
          <w:b/>
          <w:bCs/>
        </w:rPr>
        <w:fldChar w:fldCharType="separate"/>
      </w:r>
      <w:r>
        <w:rPr>
          <w:b/>
          <w:bCs/>
        </w:rPr>
        <w:t>Observation 3</w:t>
      </w:r>
      <w:r>
        <w:rPr>
          <w:b/>
          <w:bCs/>
        </w:rPr>
        <w:fldChar w:fldCharType="end"/>
      </w:r>
      <w:r>
        <w:rPr>
          <w:b/>
          <w:bCs/>
        </w:rPr>
        <w:tab/>
      </w:r>
      <w:r>
        <w:rPr>
          <w:b/>
          <w:bCs/>
        </w:rPr>
        <w:fldChar w:fldCharType="begin"/>
      </w:r>
      <w:r>
        <w:rPr>
          <w:b/>
          <w:bCs/>
        </w:rPr>
        <w:instrText xml:space="preserve"> REF _Ref181986228 \h </w:instrText>
      </w:r>
      <w:r>
        <w:rPr>
          <w:b/>
          <w:bCs/>
        </w:rPr>
      </w:r>
      <w:r>
        <w:rPr>
          <w:b/>
          <w:bCs/>
        </w:rPr>
        <w:fldChar w:fldCharType="separate"/>
      </w:r>
      <w:r w:rsidRPr="00865361">
        <w:rPr>
          <w:b/>
          <w:bCs/>
        </w:rPr>
        <w:t>With Alt C, the power restriction configured for a beam is independent of the transmission rank, the number of layers supported by this beam and the number of beams selected in the same beam group, which allows the network to configure the scaling values to ensure a desired maximum transmit power on certain elevation angle range regardless of rank, beam multiplicity, and number of beams selected in the same elevation angle range.</w:t>
      </w:r>
      <w:r>
        <w:rPr>
          <w:b/>
          <w:bCs/>
        </w:rPr>
        <w:fldChar w:fldCharType="end"/>
      </w:r>
    </w:p>
    <w:p w14:paraId="26A8CCC3" w14:textId="52E5BEF3" w:rsidR="008A3C2B" w:rsidRDefault="008A3C2B" w:rsidP="00947E79">
      <w:pPr>
        <w:ind w:left="1418" w:hanging="1418"/>
        <w:jc w:val="both"/>
        <w:rPr>
          <w:b/>
          <w:bCs/>
        </w:rPr>
      </w:pPr>
      <w:r>
        <w:rPr>
          <w:b/>
          <w:bCs/>
        </w:rPr>
        <w:fldChar w:fldCharType="begin"/>
      </w:r>
      <w:r>
        <w:rPr>
          <w:b/>
          <w:bCs/>
        </w:rPr>
        <w:instrText xml:space="preserve"> REF _Ref181986240 \r \h </w:instrText>
      </w:r>
      <w:r>
        <w:rPr>
          <w:b/>
          <w:bCs/>
        </w:rPr>
      </w:r>
      <w:r>
        <w:rPr>
          <w:b/>
          <w:bCs/>
        </w:rPr>
        <w:fldChar w:fldCharType="separate"/>
      </w:r>
      <w:r>
        <w:rPr>
          <w:b/>
          <w:bCs/>
        </w:rPr>
        <w:t>Observation 4</w:t>
      </w:r>
      <w:r>
        <w:rPr>
          <w:b/>
          <w:bCs/>
        </w:rPr>
        <w:fldChar w:fldCharType="end"/>
      </w:r>
      <w:r>
        <w:rPr>
          <w:b/>
          <w:bCs/>
        </w:rPr>
        <w:tab/>
      </w:r>
      <w:r>
        <w:rPr>
          <w:b/>
          <w:bCs/>
        </w:rPr>
        <w:fldChar w:fldCharType="begin"/>
      </w:r>
      <w:r>
        <w:rPr>
          <w:b/>
          <w:bCs/>
        </w:rPr>
        <w:instrText xml:space="preserve"> REF _Ref181986240 \h </w:instrText>
      </w:r>
      <w:r>
        <w:rPr>
          <w:b/>
          <w:bCs/>
        </w:rPr>
      </w:r>
      <w:r>
        <w:rPr>
          <w:b/>
          <w:bCs/>
        </w:rPr>
        <w:fldChar w:fldCharType="separate"/>
      </w:r>
      <w:r w:rsidRPr="00871307">
        <w:rPr>
          <w:b/>
          <w:bCs/>
        </w:rPr>
        <w:t>The transmit power restriction configured for Alt B and C is the same except for the case of two beams selected in the same beam group, i.e., with the same elevation angle range. In this case Alt B results in a transmit power on this elevation angle</w:t>
      </w:r>
      <w:r>
        <w:rPr>
          <w:b/>
          <w:bCs/>
        </w:rPr>
        <w:t xml:space="preserve"> range</w:t>
      </w:r>
      <w:r w:rsidRPr="00871307">
        <w:rPr>
          <w:b/>
          <w:bCs/>
        </w:rPr>
        <w:t xml:space="preserve"> that is 3dB higher than Alt C.</w:t>
      </w:r>
      <w:r>
        <w:rPr>
          <w:b/>
          <w:bCs/>
        </w:rPr>
        <w:fldChar w:fldCharType="end"/>
      </w:r>
    </w:p>
    <w:p w14:paraId="415B36B5" w14:textId="67B6C0E6" w:rsidR="008A3C2B" w:rsidRDefault="00F11A7F" w:rsidP="00947E79">
      <w:pPr>
        <w:ind w:left="1418" w:hanging="1418"/>
        <w:jc w:val="both"/>
        <w:rPr>
          <w:b/>
          <w:bCs/>
        </w:rPr>
      </w:pPr>
      <w:r>
        <w:rPr>
          <w:b/>
          <w:bCs/>
        </w:rPr>
        <w:fldChar w:fldCharType="begin"/>
      </w:r>
      <w:r>
        <w:rPr>
          <w:b/>
          <w:bCs/>
        </w:rPr>
        <w:instrText xml:space="preserve"> REF _Ref181986254 \r \h </w:instrText>
      </w:r>
      <w:r>
        <w:rPr>
          <w:b/>
          <w:bCs/>
        </w:rPr>
      </w:r>
      <w:r>
        <w:rPr>
          <w:b/>
          <w:bCs/>
        </w:rPr>
        <w:fldChar w:fldCharType="separate"/>
      </w:r>
      <w:r>
        <w:rPr>
          <w:b/>
          <w:bCs/>
        </w:rPr>
        <w:t>Observation 5</w:t>
      </w:r>
      <w:r>
        <w:rPr>
          <w:b/>
          <w:bCs/>
        </w:rPr>
        <w:fldChar w:fldCharType="end"/>
      </w:r>
      <w:r>
        <w:rPr>
          <w:b/>
          <w:bCs/>
        </w:rPr>
        <w:tab/>
      </w:r>
      <w:r>
        <w:rPr>
          <w:b/>
          <w:bCs/>
        </w:rPr>
        <w:fldChar w:fldCharType="begin"/>
      </w:r>
      <w:r>
        <w:rPr>
          <w:b/>
          <w:bCs/>
        </w:rPr>
        <w:instrText xml:space="preserve"> REF _Ref181986254 \h </w:instrText>
      </w:r>
      <w:r>
        <w:rPr>
          <w:b/>
          <w:bCs/>
        </w:rPr>
      </w:r>
      <w:r>
        <w:rPr>
          <w:b/>
          <w:bCs/>
        </w:rPr>
        <w:fldChar w:fldCharType="separate"/>
      </w:r>
      <w:r w:rsidRPr="00A54177">
        <w:rPr>
          <w:b/>
          <w:bCs/>
        </w:rPr>
        <w:t xml:space="preserve">Scheme-A and Scheme-B for Type-I can be extended to support 32 or fewer ports by adding support for legacy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A54177">
        <w:rPr>
          <w:b/>
          <w:bCs/>
        </w:rPr>
        <w:t xml:space="preserve"> parameters. This extension provides better throughput vs overhead performance compared to Rel-15 Type-I and allows a UE supporting this feature to reuse the same codebook implementation for non-aggregated CSI-RS resources with consistent performance and without added complexity.</w:t>
      </w:r>
      <w:r>
        <w:rPr>
          <w:b/>
          <w:bCs/>
        </w:rPr>
        <w:fldChar w:fldCharType="end"/>
      </w:r>
    </w:p>
    <w:p w14:paraId="1F6ED4C0" w14:textId="2035058A" w:rsidR="00F11A7F" w:rsidRDefault="00F11A7F" w:rsidP="00947E79">
      <w:pPr>
        <w:ind w:left="1418" w:hanging="1418"/>
        <w:jc w:val="both"/>
        <w:rPr>
          <w:b/>
          <w:bCs/>
        </w:rPr>
      </w:pPr>
      <w:r>
        <w:rPr>
          <w:b/>
          <w:bCs/>
        </w:rPr>
        <w:fldChar w:fldCharType="begin"/>
      </w:r>
      <w:r>
        <w:rPr>
          <w:b/>
          <w:bCs/>
        </w:rPr>
        <w:instrText xml:space="preserve"> REF _Ref181986269 \r \h </w:instrText>
      </w:r>
      <w:r>
        <w:rPr>
          <w:b/>
          <w:bCs/>
        </w:rPr>
      </w:r>
      <w:r>
        <w:rPr>
          <w:b/>
          <w:bCs/>
        </w:rPr>
        <w:fldChar w:fldCharType="separate"/>
      </w:r>
      <w:r>
        <w:rPr>
          <w:b/>
          <w:bCs/>
        </w:rPr>
        <w:t>Observation 6</w:t>
      </w:r>
      <w:r>
        <w:rPr>
          <w:b/>
          <w:bCs/>
        </w:rPr>
        <w:fldChar w:fldCharType="end"/>
      </w:r>
      <w:r>
        <w:rPr>
          <w:b/>
          <w:bCs/>
        </w:rPr>
        <w:tab/>
      </w:r>
      <w:r>
        <w:rPr>
          <w:b/>
          <w:bCs/>
        </w:rPr>
        <w:fldChar w:fldCharType="begin"/>
      </w:r>
      <w:r>
        <w:rPr>
          <w:b/>
          <w:bCs/>
        </w:rPr>
        <w:instrText xml:space="preserve"> REF _Ref181986269 \h </w:instrText>
      </w:r>
      <w:r>
        <w:rPr>
          <w:b/>
          <w:bCs/>
        </w:rPr>
      </w:r>
      <w:r>
        <w:rPr>
          <w:b/>
          <w:bCs/>
        </w:rPr>
        <w:fldChar w:fldCharType="separate"/>
      </w:r>
      <w:r w:rsidRPr="00F31501">
        <w:rPr>
          <w:b/>
          <w:bCs/>
          <w:lang w:val="en-US"/>
        </w:rPr>
        <w:t xml:space="preserve">For </w:t>
      </w:r>
      <w:r>
        <w:rPr>
          <w:b/>
          <w:bCs/>
          <w:lang w:val="en-US"/>
        </w:rPr>
        <w:t>16</w:t>
      </w:r>
      <w:r w:rsidRPr="00F31501">
        <w:rPr>
          <w:b/>
          <w:bCs/>
          <w:lang w:val="en-US"/>
        </w:rPr>
        <w:t xml:space="preserve"> ports, Scheme-A shows about </w:t>
      </w:r>
      <w:r>
        <w:rPr>
          <w:b/>
          <w:bCs/>
          <w:lang w:val="en-US"/>
        </w:rPr>
        <w:t>5.</w:t>
      </w:r>
      <w:r w:rsidRPr="00F31501">
        <w:rPr>
          <w:b/>
          <w:bCs/>
          <w:lang w:val="en-US"/>
        </w:rPr>
        <w:t xml:space="preserve">6% mean throughput gain over Rel-15 Type-I with </w:t>
      </w:r>
      <w:r>
        <w:rPr>
          <w:b/>
          <w:bCs/>
          <w:lang w:val="en-US"/>
        </w:rPr>
        <w:t>about 5 bits</w:t>
      </w:r>
      <w:r w:rsidRPr="00F31501">
        <w:rPr>
          <w:b/>
          <w:bCs/>
          <w:lang w:val="en-US"/>
        </w:rPr>
        <w:t xml:space="preserve"> increase in mean overhead. Scheme-B shows about 1</w:t>
      </w:r>
      <w:r>
        <w:rPr>
          <w:b/>
          <w:bCs/>
          <w:lang w:val="en-US"/>
        </w:rPr>
        <w:t>1.5</w:t>
      </w:r>
      <w:r w:rsidRPr="00F31501">
        <w:rPr>
          <w:b/>
          <w:bCs/>
          <w:lang w:val="en-US"/>
        </w:rPr>
        <w:t>% mean throughput gain over Rel-15 Type-I with about 5</w:t>
      </w:r>
      <w:r>
        <w:rPr>
          <w:b/>
          <w:bCs/>
          <w:lang w:val="en-US"/>
        </w:rPr>
        <w:t>8</w:t>
      </w:r>
      <w:r w:rsidRPr="00F31501">
        <w:rPr>
          <w:b/>
          <w:bCs/>
          <w:lang w:val="en-US"/>
        </w:rPr>
        <w:t xml:space="preserve"> bits</w:t>
      </w:r>
      <w:r>
        <w:rPr>
          <w:b/>
          <w:bCs/>
          <w:lang w:val="en-US"/>
        </w:rPr>
        <w:t xml:space="preserve"> increase</w:t>
      </w:r>
      <w:r w:rsidRPr="00F31501">
        <w:rPr>
          <w:b/>
          <w:bCs/>
          <w:lang w:val="en-US"/>
        </w:rPr>
        <w:t xml:space="preserve"> in mean overhead.</w:t>
      </w:r>
      <w:r>
        <w:rPr>
          <w:b/>
          <w:bCs/>
        </w:rPr>
        <w:fldChar w:fldCharType="end"/>
      </w:r>
    </w:p>
    <w:p w14:paraId="17D92FDC" w14:textId="46AED4B2" w:rsidR="00F11A7F" w:rsidRDefault="00F11A7F" w:rsidP="00947E79">
      <w:pPr>
        <w:ind w:left="1418" w:hanging="1418"/>
        <w:jc w:val="both"/>
        <w:rPr>
          <w:b/>
          <w:bCs/>
        </w:rPr>
      </w:pPr>
      <w:r>
        <w:rPr>
          <w:b/>
          <w:bCs/>
        </w:rPr>
        <w:fldChar w:fldCharType="begin"/>
      </w:r>
      <w:r>
        <w:rPr>
          <w:b/>
          <w:bCs/>
        </w:rPr>
        <w:instrText xml:space="preserve"> REF _Ref181986281 \r \h </w:instrText>
      </w:r>
      <w:r>
        <w:rPr>
          <w:b/>
          <w:bCs/>
        </w:rPr>
      </w:r>
      <w:r>
        <w:rPr>
          <w:b/>
          <w:bCs/>
        </w:rPr>
        <w:fldChar w:fldCharType="separate"/>
      </w:r>
      <w:r>
        <w:rPr>
          <w:b/>
          <w:bCs/>
        </w:rPr>
        <w:t>Observation 7</w:t>
      </w:r>
      <w:r>
        <w:rPr>
          <w:b/>
          <w:bCs/>
        </w:rPr>
        <w:fldChar w:fldCharType="end"/>
      </w:r>
      <w:r>
        <w:rPr>
          <w:b/>
          <w:bCs/>
        </w:rPr>
        <w:tab/>
      </w:r>
      <w:r>
        <w:rPr>
          <w:b/>
          <w:bCs/>
        </w:rPr>
        <w:fldChar w:fldCharType="begin"/>
      </w:r>
      <w:r>
        <w:rPr>
          <w:b/>
          <w:bCs/>
        </w:rPr>
        <w:instrText xml:space="preserve"> REF _Ref181986281 \h </w:instrText>
      </w:r>
      <w:r>
        <w:rPr>
          <w:b/>
          <w:bCs/>
        </w:rPr>
      </w:r>
      <w:r>
        <w:rPr>
          <w:b/>
          <w:bCs/>
        </w:rPr>
        <w:fldChar w:fldCharType="separate"/>
      </w:r>
      <w:r w:rsidRPr="00F31501">
        <w:rPr>
          <w:b/>
          <w:bCs/>
          <w:lang w:val="en-US"/>
        </w:rPr>
        <w:t xml:space="preserve">For 32 ports, Scheme-A shows about 6% mean throughput gain over Rel-15 Type-I with about </w:t>
      </w:r>
      <w:r>
        <w:rPr>
          <w:b/>
          <w:bCs/>
          <w:lang w:val="en-US"/>
        </w:rPr>
        <w:t xml:space="preserve">10 </w:t>
      </w:r>
      <w:r w:rsidRPr="00F31501">
        <w:rPr>
          <w:b/>
          <w:bCs/>
          <w:lang w:val="en-US"/>
        </w:rPr>
        <w:t>bits increase in mean overhead. Scheme-B shows about 1</w:t>
      </w:r>
      <w:r>
        <w:rPr>
          <w:b/>
          <w:bCs/>
          <w:lang w:val="en-US"/>
        </w:rPr>
        <w:t>3</w:t>
      </w:r>
      <w:r w:rsidRPr="00F31501">
        <w:rPr>
          <w:b/>
          <w:bCs/>
          <w:lang w:val="en-US"/>
        </w:rPr>
        <w:t>% mean throughput gain over Rel-15 Type-I with about 5</w:t>
      </w:r>
      <w:r>
        <w:rPr>
          <w:b/>
          <w:bCs/>
          <w:lang w:val="en-US"/>
        </w:rPr>
        <w:t>9</w:t>
      </w:r>
      <w:r w:rsidRPr="00F31501">
        <w:rPr>
          <w:b/>
          <w:bCs/>
          <w:lang w:val="en-US"/>
        </w:rPr>
        <w:t xml:space="preserve"> bits</w:t>
      </w:r>
      <w:r>
        <w:rPr>
          <w:b/>
          <w:bCs/>
          <w:lang w:val="en-US"/>
        </w:rPr>
        <w:t xml:space="preserve"> increase</w:t>
      </w:r>
      <w:r w:rsidRPr="00F31501">
        <w:rPr>
          <w:b/>
          <w:bCs/>
          <w:lang w:val="en-US"/>
        </w:rPr>
        <w:t xml:space="preserve"> in mean overhead.</w:t>
      </w:r>
      <w:r>
        <w:rPr>
          <w:b/>
          <w:bCs/>
        </w:rPr>
        <w:fldChar w:fldCharType="end"/>
      </w:r>
    </w:p>
    <w:p w14:paraId="15B7D690" w14:textId="7A527E76" w:rsidR="00F11A7F" w:rsidRDefault="00F11A7F" w:rsidP="00947E79">
      <w:pPr>
        <w:ind w:left="1418" w:hanging="1418"/>
        <w:jc w:val="both"/>
        <w:rPr>
          <w:b/>
          <w:bCs/>
        </w:rPr>
      </w:pPr>
      <w:r>
        <w:rPr>
          <w:b/>
          <w:bCs/>
        </w:rPr>
        <w:fldChar w:fldCharType="begin"/>
      </w:r>
      <w:r>
        <w:rPr>
          <w:b/>
          <w:bCs/>
        </w:rPr>
        <w:instrText xml:space="preserve"> REF _Ref181986293 \r \h </w:instrText>
      </w:r>
      <w:r>
        <w:rPr>
          <w:b/>
          <w:bCs/>
        </w:rPr>
      </w:r>
      <w:r>
        <w:rPr>
          <w:b/>
          <w:bCs/>
        </w:rPr>
        <w:fldChar w:fldCharType="separate"/>
      </w:r>
      <w:r>
        <w:rPr>
          <w:b/>
          <w:bCs/>
        </w:rPr>
        <w:t>Observation 8</w:t>
      </w:r>
      <w:r>
        <w:rPr>
          <w:b/>
          <w:bCs/>
        </w:rPr>
        <w:fldChar w:fldCharType="end"/>
      </w:r>
      <w:r>
        <w:rPr>
          <w:b/>
          <w:bCs/>
        </w:rPr>
        <w:tab/>
      </w:r>
      <w:r>
        <w:rPr>
          <w:b/>
          <w:bCs/>
        </w:rPr>
        <w:fldChar w:fldCharType="begin"/>
      </w:r>
      <w:r>
        <w:rPr>
          <w:b/>
          <w:bCs/>
        </w:rPr>
        <w:instrText xml:space="preserve"> REF _Ref181986293 \h </w:instrText>
      </w:r>
      <w:r>
        <w:rPr>
          <w:b/>
          <w:bCs/>
        </w:rPr>
      </w:r>
      <w:r>
        <w:rPr>
          <w:b/>
          <w:bCs/>
        </w:rPr>
        <w:fldChar w:fldCharType="separate"/>
      </w:r>
      <w:r>
        <w:rPr>
          <w:b/>
          <w:bCs/>
          <w:lang w:val="en-US"/>
        </w:rPr>
        <w:t>The throughput gain of Scheme-A over Rel-15 would increase further, including at cell-edge, if the extended orthogonal candidate set for beam selection was introduced also for ranks 1 to 4, without any significant increase in overhead or UE complexity.</w:t>
      </w:r>
      <w:r>
        <w:rPr>
          <w:b/>
          <w:bCs/>
        </w:rPr>
        <w:fldChar w:fldCharType="end"/>
      </w:r>
    </w:p>
    <w:p w14:paraId="77BA9CB1" w14:textId="77777777" w:rsidR="00F11A7F" w:rsidRDefault="00F11A7F" w:rsidP="00947E79">
      <w:pPr>
        <w:ind w:left="1418" w:hanging="1418"/>
        <w:jc w:val="both"/>
        <w:rPr>
          <w:b/>
          <w:bCs/>
        </w:rPr>
      </w:pPr>
    </w:p>
    <w:p w14:paraId="6162EB49" w14:textId="77777777" w:rsidR="00563A7B" w:rsidRDefault="00563A7B" w:rsidP="00947E79">
      <w:pPr>
        <w:ind w:left="1418" w:hanging="1418"/>
        <w:jc w:val="both"/>
        <w:rPr>
          <w:b/>
          <w:bCs/>
        </w:rPr>
      </w:pPr>
    </w:p>
    <w:p w14:paraId="5199156A" w14:textId="7DC5D9C9" w:rsidR="00563A7B" w:rsidRDefault="00563A7B" w:rsidP="00947E79">
      <w:pPr>
        <w:ind w:left="1418" w:hanging="1418"/>
        <w:jc w:val="both"/>
        <w:rPr>
          <w:b/>
          <w:bCs/>
        </w:rPr>
      </w:pPr>
      <w:r>
        <w:rPr>
          <w:b/>
          <w:bCs/>
        </w:rPr>
        <w:fldChar w:fldCharType="begin"/>
      </w:r>
      <w:r>
        <w:rPr>
          <w:b/>
          <w:bCs/>
        </w:rPr>
        <w:instrText xml:space="preserve"> REF _Ref181986361 \r \h </w:instrText>
      </w:r>
      <w:r>
        <w:rPr>
          <w:b/>
          <w:bCs/>
        </w:rPr>
      </w:r>
      <w:r>
        <w:rPr>
          <w:b/>
          <w:bCs/>
        </w:rPr>
        <w:fldChar w:fldCharType="separate"/>
      </w:r>
      <w:r>
        <w:rPr>
          <w:b/>
          <w:bCs/>
        </w:rPr>
        <w:t>Proposal 1</w:t>
      </w:r>
      <w:r>
        <w:rPr>
          <w:b/>
          <w:bCs/>
        </w:rPr>
        <w:fldChar w:fldCharType="end"/>
      </w:r>
      <w:r>
        <w:rPr>
          <w:b/>
          <w:bCs/>
        </w:rPr>
        <w:tab/>
      </w:r>
      <w:r w:rsidRPr="00563A7B">
        <w:rPr>
          <w:b/>
          <w:bCs/>
        </w:rPr>
        <w:fldChar w:fldCharType="begin"/>
      </w:r>
      <w:r w:rsidRPr="00563A7B">
        <w:rPr>
          <w:b/>
          <w:bCs/>
        </w:rPr>
        <w:instrText xml:space="preserve"> REF _Ref181986361 \h </w:instrText>
      </w:r>
      <w:r w:rsidRPr="00563A7B">
        <w:rPr>
          <w:b/>
          <w:bCs/>
        </w:rPr>
      </w:r>
      <w:r w:rsidRPr="00563A7B">
        <w:rPr>
          <w:b/>
          <w:bCs/>
        </w:rPr>
        <w:instrText xml:space="preserve"> \* MERGEFORMAT </w:instrText>
      </w:r>
      <w:r w:rsidRPr="00563A7B">
        <w:rPr>
          <w:b/>
          <w:bCs/>
        </w:rPr>
        <w:fldChar w:fldCharType="separate"/>
      </w:r>
      <w:r w:rsidRPr="00563A7B">
        <w:rPr>
          <w:b/>
          <w:bCs/>
        </w:rPr>
        <w:t>Regarding the UE assumption of PDSCH power restriction for rank 2, when 3-bit beam-group power scaling is configured, support Alt B or C.</w:t>
      </w:r>
      <w:r w:rsidRPr="00563A7B">
        <w:rPr>
          <w:b/>
          <w:bCs/>
        </w:rPr>
        <w:fldChar w:fldCharType="end"/>
      </w:r>
    </w:p>
    <w:p w14:paraId="18FA1FA0" w14:textId="35DFD416" w:rsidR="00563A7B" w:rsidRDefault="00563A7B" w:rsidP="00947E79">
      <w:pPr>
        <w:ind w:left="1418" w:hanging="1418"/>
        <w:jc w:val="both"/>
        <w:rPr>
          <w:b/>
          <w:bCs/>
        </w:rPr>
      </w:pPr>
      <w:r>
        <w:rPr>
          <w:b/>
          <w:bCs/>
        </w:rPr>
        <w:fldChar w:fldCharType="begin"/>
      </w:r>
      <w:r>
        <w:rPr>
          <w:b/>
          <w:bCs/>
        </w:rPr>
        <w:instrText xml:space="preserve"> REF _Ref181986383 \r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_Ref181986383 \h </w:instrText>
      </w:r>
      <w:r>
        <w:rPr>
          <w:b/>
          <w:bCs/>
        </w:rPr>
      </w:r>
      <w:r>
        <w:rPr>
          <w:b/>
          <w:bCs/>
        </w:rPr>
        <w:fldChar w:fldCharType="separate"/>
      </w:r>
      <w:r w:rsidRPr="004A16C3">
        <w:rPr>
          <w:b/>
          <w:bCs/>
        </w:rPr>
        <w:t>Support rank-common configuration of 3-bit beam-group power scaling.</w:t>
      </w:r>
      <w:r>
        <w:rPr>
          <w:b/>
          <w:bCs/>
        </w:rPr>
        <w:fldChar w:fldCharType="end"/>
      </w:r>
    </w:p>
    <w:p w14:paraId="09AAB184" w14:textId="59CDE1D2" w:rsidR="00563A7B" w:rsidRDefault="00563A7B" w:rsidP="00947E79">
      <w:pPr>
        <w:ind w:left="1418" w:hanging="1418"/>
        <w:jc w:val="both"/>
        <w:rPr>
          <w:b/>
          <w:bCs/>
        </w:rPr>
      </w:pPr>
      <w:r>
        <w:rPr>
          <w:b/>
          <w:bCs/>
        </w:rPr>
        <w:fldChar w:fldCharType="begin"/>
      </w:r>
      <w:r>
        <w:rPr>
          <w:b/>
          <w:bCs/>
        </w:rPr>
        <w:instrText xml:space="preserve"> REF _Ref181986396 \r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_Ref181986396 \h </w:instrText>
      </w:r>
      <w:r>
        <w:rPr>
          <w:b/>
          <w:bCs/>
        </w:rPr>
      </w:r>
      <w:r>
        <w:rPr>
          <w:b/>
          <w:bCs/>
        </w:rPr>
        <w:fldChar w:fldCharType="separate"/>
      </w:r>
      <w:r w:rsidRPr="00F21DD1">
        <w:rPr>
          <w:b/>
          <w:bCs/>
          <w:lang w:val="en-US"/>
        </w:rPr>
        <w:t xml:space="preserve">Support extension of Scheme-A and Scheme-B to legacy </w:t>
      </w:r>
      <m:oMath>
        <m:r>
          <m:rPr>
            <m:sty m:val="bi"/>
          </m:rPr>
          <w:rPr>
            <w:rFonts w:ascii="Cambria Math" w:hAnsi="Cambria Math"/>
            <w:lang w:val="en-US"/>
          </w:rPr>
          <m:t>≤</m:t>
        </m:r>
      </m:oMath>
      <w:r w:rsidRPr="00F21DD1">
        <w:rPr>
          <w:b/>
          <w:bCs/>
          <w:lang w:val="en-US"/>
        </w:rPr>
        <w:t xml:space="preserve"> 32 ports for up to rank 8.</w:t>
      </w:r>
      <w:r>
        <w:rPr>
          <w:b/>
          <w:bCs/>
        </w:rPr>
        <w:fldChar w:fldCharType="end"/>
      </w:r>
    </w:p>
    <w:p w14:paraId="72A68DCA" w14:textId="23BD83B1" w:rsidR="00563A7B" w:rsidRDefault="00563A7B" w:rsidP="00947E79">
      <w:pPr>
        <w:ind w:left="1418" w:hanging="1418"/>
        <w:jc w:val="both"/>
        <w:rPr>
          <w:b/>
          <w:bCs/>
        </w:rPr>
      </w:pPr>
      <w:r>
        <w:rPr>
          <w:b/>
          <w:bCs/>
        </w:rPr>
        <w:fldChar w:fldCharType="begin"/>
      </w:r>
      <w:r>
        <w:rPr>
          <w:b/>
          <w:bCs/>
        </w:rPr>
        <w:instrText xml:space="preserve"> REF _Ref181986408 \r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_Ref181986408 \h </w:instrText>
      </w:r>
      <w:r>
        <w:rPr>
          <w:b/>
          <w:bCs/>
        </w:rPr>
      </w:r>
      <w:r>
        <w:rPr>
          <w:b/>
          <w:bCs/>
        </w:rPr>
        <w:fldChar w:fldCharType="separate"/>
      </w:r>
      <w:r>
        <w:rPr>
          <w:b/>
          <w:bCs/>
          <w:lang w:val="en-US"/>
        </w:rPr>
        <w:t>Support extended orthogonal candidate set for the second SD basis for Scheme-A and ranks 1-4.</w:t>
      </w:r>
      <w:r>
        <w:rPr>
          <w:b/>
          <w:bCs/>
        </w:rPr>
        <w:fldChar w:fldCharType="end"/>
      </w:r>
    </w:p>
    <w:p w14:paraId="05A782D3" w14:textId="77777777" w:rsidR="00563A7B" w:rsidRPr="00563A7B" w:rsidRDefault="00563A7B" w:rsidP="00947E79">
      <w:pPr>
        <w:ind w:left="1418" w:hanging="1418"/>
        <w:jc w:val="both"/>
        <w:rPr>
          <w:b/>
          <w:bCs/>
        </w:rPr>
      </w:pPr>
    </w:p>
    <w:p w14:paraId="64625D13" w14:textId="49BAC215" w:rsidR="00C349B1" w:rsidRPr="008A35B1" w:rsidRDefault="00C349B1" w:rsidP="00F925E5">
      <w:pPr>
        <w:jc w:val="both"/>
        <w:rPr>
          <w:u w:val="single"/>
        </w:rPr>
      </w:pPr>
      <w:r w:rsidRPr="008A35B1">
        <w:rPr>
          <w:u w:val="single"/>
        </w:rPr>
        <w:t>Hereafter is a summary of observations and proposals for UE-assisted CJT calibration for nonideal synchronisation and backhaul</w:t>
      </w:r>
    </w:p>
    <w:p w14:paraId="5B97C770" w14:textId="795DD782" w:rsidR="009E6774" w:rsidRDefault="00563A7B" w:rsidP="00554376">
      <w:pPr>
        <w:ind w:left="1418" w:hanging="1418"/>
        <w:jc w:val="both"/>
        <w:rPr>
          <w:b/>
          <w:bCs/>
        </w:rPr>
      </w:pPr>
      <w:r>
        <w:rPr>
          <w:b/>
          <w:bCs/>
        </w:rPr>
        <w:fldChar w:fldCharType="begin"/>
      </w:r>
      <w:r>
        <w:rPr>
          <w:b/>
          <w:bCs/>
        </w:rPr>
        <w:instrText xml:space="preserve"> REF _Ref181986326 \r \h </w:instrText>
      </w:r>
      <w:r>
        <w:rPr>
          <w:b/>
          <w:bCs/>
        </w:rPr>
      </w:r>
      <w:r>
        <w:rPr>
          <w:b/>
          <w:bCs/>
        </w:rPr>
        <w:fldChar w:fldCharType="separate"/>
      </w:r>
      <w:r>
        <w:rPr>
          <w:b/>
          <w:bCs/>
        </w:rPr>
        <w:t>Observation 9</w:t>
      </w:r>
      <w:r>
        <w:rPr>
          <w:b/>
          <w:bCs/>
        </w:rPr>
        <w:fldChar w:fldCharType="end"/>
      </w:r>
      <w:r>
        <w:rPr>
          <w:b/>
          <w:bCs/>
        </w:rPr>
        <w:tab/>
      </w:r>
      <w:r>
        <w:rPr>
          <w:b/>
          <w:bCs/>
        </w:rPr>
        <w:fldChar w:fldCharType="begin"/>
      </w:r>
      <w:r>
        <w:rPr>
          <w:b/>
          <w:bCs/>
        </w:rPr>
        <w:instrText xml:space="preserve"> REF _Ref181986326 \h </w:instrText>
      </w:r>
      <w:r>
        <w:rPr>
          <w:b/>
          <w:bCs/>
        </w:rPr>
      </w:r>
      <w:r>
        <w:rPr>
          <w:b/>
          <w:bCs/>
        </w:rPr>
        <w:fldChar w:fldCharType="separate"/>
      </w:r>
      <w:r w:rsidRPr="00E24A79">
        <w:rPr>
          <w:b/>
          <w:bCs/>
        </w:rPr>
        <w:t xml:space="preserve">Where to add the 1-bit indicator in the trigger state, </w:t>
      </w:r>
      <w:r w:rsidRPr="00E24A79">
        <w:rPr>
          <w:b/>
          <w:bCs/>
          <w:i/>
          <w:iCs/>
        </w:rPr>
        <w:t>i.e.</w:t>
      </w:r>
      <w:r w:rsidRPr="00E24A79">
        <w:rPr>
          <w:b/>
          <w:bCs/>
        </w:rPr>
        <w:t xml:space="preserve">, in which IE of the trigger state can be left to RAN2 to decide. However, if RAN1 can agree to add it in </w:t>
      </w:r>
      <w:r w:rsidRPr="00E24A79">
        <w:rPr>
          <w:b/>
          <w:bCs/>
          <w:i/>
          <w:iCs/>
        </w:rPr>
        <w:t>CSI-</w:t>
      </w:r>
      <w:proofErr w:type="spellStart"/>
      <w:r w:rsidRPr="00E24A79">
        <w:rPr>
          <w:b/>
          <w:bCs/>
          <w:i/>
          <w:iCs/>
        </w:rPr>
        <w:t>AssociatedReportConfigInfo</w:t>
      </w:r>
      <w:proofErr w:type="spellEnd"/>
      <w:r w:rsidRPr="00E24A79">
        <w:rPr>
          <w:b/>
          <w:bCs/>
          <w:i/>
          <w:iCs/>
        </w:rPr>
        <w:t>,</w:t>
      </w:r>
      <w:r w:rsidRPr="00E24A79">
        <w:rPr>
          <w:b/>
          <w:bCs/>
        </w:rPr>
        <w:t xml:space="preserve"> there is no need to consider the case of multiple CSI reports</w:t>
      </w:r>
      <w:r>
        <w:rPr>
          <w:b/>
          <w:bCs/>
        </w:rPr>
        <w:t>, as this is left to network implementation</w:t>
      </w:r>
      <w:r w:rsidRPr="00E24A79">
        <w:rPr>
          <w:b/>
          <w:bCs/>
        </w:rPr>
        <w:t>.</w:t>
      </w:r>
      <w:r>
        <w:rPr>
          <w:b/>
          <w:bCs/>
        </w:rPr>
        <w:fldChar w:fldCharType="end"/>
      </w:r>
    </w:p>
    <w:p w14:paraId="4480811A" w14:textId="6B31928B" w:rsidR="00563A7B" w:rsidRDefault="00563A7B" w:rsidP="00554376">
      <w:pPr>
        <w:ind w:left="1418" w:hanging="1418"/>
        <w:jc w:val="both"/>
        <w:rPr>
          <w:b/>
          <w:bCs/>
        </w:rPr>
      </w:pPr>
      <w:r>
        <w:rPr>
          <w:b/>
          <w:bCs/>
        </w:rPr>
        <w:fldChar w:fldCharType="begin"/>
      </w:r>
      <w:r>
        <w:rPr>
          <w:b/>
          <w:bCs/>
        </w:rPr>
        <w:instrText xml:space="preserve"> REF _Ref181986337 \r \h </w:instrText>
      </w:r>
      <w:r>
        <w:rPr>
          <w:b/>
          <w:bCs/>
        </w:rPr>
      </w:r>
      <w:r>
        <w:rPr>
          <w:b/>
          <w:bCs/>
        </w:rPr>
        <w:fldChar w:fldCharType="separate"/>
      </w:r>
      <w:r>
        <w:rPr>
          <w:b/>
          <w:bCs/>
        </w:rPr>
        <w:t>Observation 10</w:t>
      </w:r>
      <w:r>
        <w:rPr>
          <w:b/>
          <w:bCs/>
        </w:rPr>
        <w:fldChar w:fldCharType="end"/>
      </w:r>
      <w:r>
        <w:rPr>
          <w:b/>
          <w:bCs/>
        </w:rPr>
        <w:tab/>
      </w:r>
      <w:r>
        <w:rPr>
          <w:b/>
          <w:bCs/>
        </w:rPr>
        <w:fldChar w:fldCharType="begin"/>
      </w:r>
      <w:r>
        <w:rPr>
          <w:b/>
          <w:bCs/>
        </w:rPr>
        <w:instrText xml:space="preserve"> REF _Ref181986337 \h </w:instrText>
      </w:r>
      <w:r>
        <w:rPr>
          <w:b/>
          <w:bCs/>
        </w:rPr>
      </w:r>
      <w:r>
        <w:rPr>
          <w:b/>
          <w:bCs/>
        </w:rPr>
        <w:fldChar w:fldCharType="separate"/>
      </w:r>
      <w:r w:rsidRPr="009864C5">
        <w:rPr>
          <w:b/>
          <w:bCs/>
        </w:rPr>
        <w:t>A resource-specific 1-bit indication allows the flexibility for the network to pre-compensate some TRPs for delay and configure them for both UEs that do not support joint CJT-Dd and -CSI reporting and UEs with that capability. Additional TRPs can be configured for UEs that support joint CJT-Dd and -CSI reporting with delay compensation performed by the UE.</w:t>
      </w:r>
      <w:r>
        <w:rPr>
          <w:b/>
          <w:bCs/>
        </w:rPr>
        <w:fldChar w:fldCharType="end"/>
      </w:r>
    </w:p>
    <w:p w14:paraId="2A2F86EA" w14:textId="77777777" w:rsidR="00563A7B" w:rsidRDefault="00563A7B" w:rsidP="00554376">
      <w:pPr>
        <w:ind w:left="1418" w:hanging="1418"/>
        <w:jc w:val="both"/>
        <w:rPr>
          <w:b/>
          <w:bCs/>
        </w:rPr>
      </w:pPr>
    </w:p>
    <w:p w14:paraId="487E2540" w14:textId="34744F9B" w:rsidR="00563A7B" w:rsidRDefault="00563A7B" w:rsidP="00554376">
      <w:pPr>
        <w:ind w:left="1418" w:hanging="1418"/>
        <w:jc w:val="both"/>
        <w:rPr>
          <w:b/>
          <w:bCs/>
        </w:rPr>
      </w:pPr>
      <w:r>
        <w:rPr>
          <w:b/>
          <w:bCs/>
        </w:rPr>
        <w:fldChar w:fldCharType="begin"/>
      </w:r>
      <w:r>
        <w:rPr>
          <w:b/>
          <w:bCs/>
        </w:rPr>
        <w:instrText xml:space="preserve"> REF _Ref181986431 \r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_Ref181986431 \h </w:instrText>
      </w:r>
      <w:r>
        <w:rPr>
          <w:b/>
          <w:bCs/>
        </w:rPr>
      </w:r>
      <w:r>
        <w:rPr>
          <w:b/>
          <w:bCs/>
        </w:rPr>
        <w:fldChar w:fldCharType="separate"/>
      </w:r>
      <w:r w:rsidRPr="00736874">
        <w:rPr>
          <w:b/>
          <w:bCs/>
        </w:rPr>
        <w:t xml:space="preserve">Support including the 1-bit indication in a CJT </w:t>
      </w:r>
      <w:r w:rsidRPr="00736874">
        <w:rPr>
          <w:b/>
          <w:bCs/>
          <w:i/>
          <w:iCs/>
        </w:rPr>
        <w:t>CSI-</w:t>
      </w:r>
      <w:proofErr w:type="spellStart"/>
      <w:r w:rsidRPr="00736874">
        <w:rPr>
          <w:b/>
          <w:bCs/>
          <w:i/>
          <w:iCs/>
        </w:rPr>
        <w:t>AssociatedReportConfigInfo</w:t>
      </w:r>
      <w:proofErr w:type="spellEnd"/>
      <w:r w:rsidRPr="00736874">
        <w:rPr>
          <w:b/>
          <w:bCs/>
        </w:rPr>
        <w:t xml:space="preserve"> of a trigger state.</w:t>
      </w:r>
      <w:r>
        <w:rPr>
          <w:b/>
          <w:bCs/>
        </w:rPr>
        <w:fldChar w:fldCharType="end"/>
      </w:r>
    </w:p>
    <w:p w14:paraId="4DC59144" w14:textId="3F35874D" w:rsidR="00563A7B" w:rsidRDefault="00563A7B" w:rsidP="00554376">
      <w:pPr>
        <w:ind w:left="1418" w:hanging="1418"/>
        <w:jc w:val="both"/>
        <w:rPr>
          <w:b/>
          <w:bCs/>
        </w:rPr>
      </w:pPr>
      <w:r>
        <w:rPr>
          <w:b/>
          <w:bCs/>
        </w:rPr>
        <w:fldChar w:fldCharType="begin"/>
      </w:r>
      <w:r>
        <w:rPr>
          <w:b/>
          <w:bCs/>
        </w:rPr>
        <w:instrText xml:space="preserve"> REF _Ref181986442 \r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_Ref181986442 \h </w:instrText>
      </w:r>
      <w:r>
        <w:rPr>
          <w:b/>
          <w:bCs/>
        </w:rPr>
      </w:r>
      <w:r>
        <w:rPr>
          <w:b/>
          <w:bCs/>
        </w:rPr>
        <w:fldChar w:fldCharType="separate"/>
      </w:r>
      <w:r w:rsidRPr="00A9226D">
        <w:rPr>
          <w:b/>
          <w:bCs/>
        </w:rPr>
        <w:t>Support CSI-RS resource specific 1-bit indicator for separately triggered CJT-Dd and CSI reports</w:t>
      </w:r>
      <w:r>
        <w:t>.</w:t>
      </w:r>
      <w:r>
        <w:rPr>
          <w:b/>
          <w:bCs/>
        </w:rPr>
        <w:fldChar w:fldCharType="end"/>
      </w:r>
    </w:p>
    <w:p w14:paraId="70FBACC4" w14:textId="104D722E" w:rsidR="00563A7B" w:rsidRPr="008A35B1" w:rsidRDefault="00563A7B" w:rsidP="00554376">
      <w:pPr>
        <w:ind w:left="1418" w:hanging="1418"/>
        <w:jc w:val="both"/>
        <w:rPr>
          <w:b/>
          <w:bCs/>
        </w:rPr>
      </w:pPr>
      <w:r>
        <w:rPr>
          <w:b/>
          <w:bCs/>
        </w:rPr>
        <w:fldChar w:fldCharType="begin"/>
      </w:r>
      <w:r>
        <w:rPr>
          <w:b/>
          <w:bCs/>
        </w:rPr>
        <w:instrText xml:space="preserve"> REF _Ref178949453 \r \h </w:instrText>
      </w:r>
      <w:r>
        <w:rPr>
          <w:b/>
          <w:bCs/>
        </w:rPr>
      </w:r>
      <w:r>
        <w:rPr>
          <w:b/>
          <w:bCs/>
        </w:rPr>
        <w:fldChar w:fldCharType="separate"/>
      </w:r>
      <w:r>
        <w:rPr>
          <w:b/>
          <w:bCs/>
        </w:rPr>
        <w:t>Proposal 7</w:t>
      </w:r>
      <w:r>
        <w:rPr>
          <w:b/>
          <w:bCs/>
        </w:rPr>
        <w:fldChar w:fldCharType="end"/>
      </w:r>
      <w:r>
        <w:rPr>
          <w:b/>
          <w:bCs/>
        </w:rPr>
        <w:tab/>
      </w:r>
      <w:r>
        <w:rPr>
          <w:b/>
          <w:bCs/>
        </w:rPr>
        <w:fldChar w:fldCharType="begin"/>
      </w:r>
      <w:r>
        <w:rPr>
          <w:b/>
          <w:bCs/>
        </w:rPr>
        <w:instrText xml:space="preserve"> REF _Ref178949453 \h </w:instrText>
      </w:r>
      <w:r>
        <w:rPr>
          <w:b/>
          <w:bCs/>
        </w:rPr>
      </w:r>
      <w:r>
        <w:rPr>
          <w:b/>
          <w:bCs/>
        </w:rPr>
        <w:fldChar w:fldCharType="separate"/>
      </w:r>
      <w:r>
        <w:rPr>
          <w:b/>
          <w:bCs/>
        </w:rPr>
        <w:t>Regarding the timeline for jointly triggered CJTC-Dd and CJT CSI reports, reuse the CJT CSI timeline or introduce a small additional relaxation added to the CJT CSI values for Z/Z’</w:t>
      </w:r>
      <w:r w:rsidRPr="008A35B1">
        <w:rPr>
          <w:b/>
          <w:bCs/>
        </w:rPr>
        <w:t>.</w:t>
      </w:r>
      <w:r>
        <w:rPr>
          <w:b/>
          <w:bCs/>
        </w:rPr>
        <w:fldChar w:fldCharType="end"/>
      </w:r>
    </w:p>
    <w:p w14:paraId="1AE17698" w14:textId="5ED37203" w:rsidR="00DE0FEB" w:rsidRDefault="00DE0FEB">
      <w:pPr>
        <w:rPr>
          <w:b/>
          <w:bCs/>
        </w:rPr>
      </w:pPr>
      <w:r>
        <w:rPr>
          <w:b/>
          <w:bCs/>
        </w:rPr>
        <w:br w:type="page"/>
      </w:r>
    </w:p>
    <w:p w14:paraId="70C9D25A" w14:textId="77777777" w:rsidR="004611E7" w:rsidRPr="008A35B1" w:rsidRDefault="004611E7" w:rsidP="00D32F6D">
      <w:pPr>
        <w:jc w:val="both"/>
        <w:rPr>
          <w:b/>
          <w:bCs/>
        </w:rPr>
      </w:pPr>
    </w:p>
    <w:p w14:paraId="6F54B063" w14:textId="77777777" w:rsidR="00B91A48" w:rsidRPr="008A35B1" w:rsidRDefault="00B91A48" w:rsidP="00B91A48">
      <w:pPr>
        <w:pStyle w:val="Heading1"/>
      </w:pPr>
      <w:r w:rsidRPr="008A35B1">
        <w:t>References</w:t>
      </w:r>
    </w:p>
    <w:p w14:paraId="1EFFC139" w14:textId="23252871" w:rsidR="00B91A48" w:rsidRPr="008A35B1" w:rsidRDefault="00B91A48" w:rsidP="00B91A48">
      <w:pPr>
        <w:pStyle w:val="ListParagraph"/>
        <w:numPr>
          <w:ilvl w:val="0"/>
          <w:numId w:val="1"/>
        </w:numPr>
        <w:ind w:left="426" w:hanging="426"/>
        <w:rPr>
          <w:szCs w:val="20"/>
        </w:rPr>
      </w:pPr>
      <w:bookmarkStart w:id="25" w:name="_Ref525918101"/>
      <w:bookmarkStart w:id="26" w:name="_Ref37357160"/>
      <w:bookmarkStart w:id="27" w:name="_Ref40109439"/>
      <w:bookmarkStart w:id="28" w:name="_Ref99378266"/>
      <w:bookmarkStart w:id="29" w:name="_Ref177401453"/>
      <w:bookmarkEnd w:id="25"/>
      <w:r w:rsidRPr="008A35B1">
        <w:rPr>
          <w:szCs w:val="20"/>
        </w:rPr>
        <w:t>RP-</w:t>
      </w:r>
      <w:r w:rsidR="0031285F" w:rsidRPr="008A35B1">
        <w:rPr>
          <w:szCs w:val="20"/>
        </w:rPr>
        <w:t>242394</w:t>
      </w:r>
      <w:r w:rsidRPr="008A35B1">
        <w:rPr>
          <w:szCs w:val="20"/>
        </w:rPr>
        <w:t>, Samsung, “</w:t>
      </w:r>
      <w:r w:rsidR="0031285F" w:rsidRPr="008A35B1">
        <w:rPr>
          <w:szCs w:val="20"/>
        </w:rPr>
        <w:t>WID revision: NR MIMO Phase 5</w:t>
      </w:r>
      <w:r w:rsidRPr="008A35B1">
        <w:rPr>
          <w:szCs w:val="20"/>
        </w:rPr>
        <w:t>”</w:t>
      </w:r>
      <w:bookmarkEnd w:id="26"/>
      <w:bookmarkEnd w:id="27"/>
      <w:bookmarkEnd w:id="28"/>
      <w:r w:rsidRPr="008A35B1">
        <w:rPr>
          <w:szCs w:val="20"/>
        </w:rPr>
        <w:t>, RAN#10</w:t>
      </w:r>
      <w:r w:rsidR="0031285F" w:rsidRPr="008A35B1">
        <w:rPr>
          <w:szCs w:val="20"/>
        </w:rPr>
        <w:t>5</w:t>
      </w:r>
      <w:r w:rsidRPr="008A35B1">
        <w:rPr>
          <w:szCs w:val="20"/>
        </w:rPr>
        <w:t xml:space="preserve">, </w:t>
      </w:r>
      <w:r w:rsidR="0031285F" w:rsidRPr="008A35B1">
        <w:rPr>
          <w:szCs w:val="20"/>
        </w:rPr>
        <w:t>Melbourne</w:t>
      </w:r>
      <w:r w:rsidRPr="008A35B1">
        <w:rPr>
          <w:szCs w:val="20"/>
        </w:rPr>
        <w:t xml:space="preserve">, </w:t>
      </w:r>
      <w:r w:rsidR="0031285F" w:rsidRPr="008A35B1">
        <w:rPr>
          <w:szCs w:val="20"/>
        </w:rPr>
        <w:t>Australia</w:t>
      </w:r>
      <w:r w:rsidRPr="008A35B1">
        <w:rPr>
          <w:szCs w:val="20"/>
        </w:rPr>
        <w:t xml:space="preserve">, </w:t>
      </w:r>
      <w:r w:rsidR="0031285F" w:rsidRPr="008A35B1">
        <w:rPr>
          <w:szCs w:val="20"/>
        </w:rPr>
        <w:t>9-12</w:t>
      </w:r>
      <w:r w:rsidRPr="008A35B1">
        <w:rPr>
          <w:szCs w:val="20"/>
        </w:rPr>
        <w:t xml:space="preserve"> </w:t>
      </w:r>
      <w:r w:rsidR="0031285F" w:rsidRPr="008A35B1">
        <w:rPr>
          <w:szCs w:val="20"/>
        </w:rPr>
        <w:t>Sep</w:t>
      </w:r>
      <w:r w:rsidRPr="008A35B1">
        <w:rPr>
          <w:szCs w:val="20"/>
        </w:rPr>
        <w:t xml:space="preserve"> 202</w:t>
      </w:r>
      <w:r w:rsidR="0031285F" w:rsidRPr="008A35B1">
        <w:rPr>
          <w:szCs w:val="20"/>
        </w:rPr>
        <w:t>4</w:t>
      </w:r>
      <w:r w:rsidRPr="008A35B1">
        <w:rPr>
          <w:szCs w:val="20"/>
        </w:rPr>
        <w:t>.</w:t>
      </w:r>
      <w:bookmarkEnd w:id="29"/>
    </w:p>
    <w:p w14:paraId="71290B98" w14:textId="08198508" w:rsidR="003901E0" w:rsidRPr="008A35B1" w:rsidRDefault="003901E0" w:rsidP="00B91A48">
      <w:pPr>
        <w:pStyle w:val="ListParagraph"/>
        <w:numPr>
          <w:ilvl w:val="0"/>
          <w:numId w:val="1"/>
        </w:numPr>
        <w:ind w:left="426" w:hanging="426"/>
        <w:rPr>
          <w:szCs w:val="20"/>
        </w:rPr>
      </w:pPr>
      <w:bookmarkStart w:id="30" w:name="_Ref118628904"/>
      <w:r w:rsidRPr="008A35B1">
        <w:rPr>
          <w:szCs w:val="20"/>
        </w:rPr>
        <w:t>RAN1 Chair’s Notes, RAN1#11</w:t>
      </w:r>
      <w:r w:rsidR="008B461E" w:rsidRPr="008A35B1">
        <w:rPr>
          <w:szCs w:val="20"/>
        </w:rPr>
        <w:t>8bis</w:t>
      </w:r>
      <w:r w:rsidRPr="008A35B1">
        <w:rPr>
          <w:szCs w:val="20"/>
        </w:rPr>
        <w:t>.</w:t>
      </w:r>
      <w:bookmarkEnd w:id="30"/>
    </w:p>
    <w:p w14:paraId="54A479E7" w14:textId="25A040BF" w:rsidR="00B91A48" w:rsidRPr="008A35B1" w:rsidRDefault="00DE574D" w:rsidP="00B91A48">
      <w:pPr>
        <w:pStyle w:val="ListParagraph"/>
        <w:numPr>
          <w:ilvl w:val="0"/>
          <w:numId w:val="1"/>
        </w:numPr>
        <w:ind w:left="426" w:hanging="426"/>
        <w:rPr>
          <w:szCs w:val="20"/>
        </w:rPr>
      </w:pPr>
      <w:r w:rsidRPr="008A35B1">
        <w:rPr>
          <w:szCs w:val="20"/>
        </w:rPr>
        <w:t>R1-2406746</w:t>
      </w:r>
      <w:r w:rsidR="00B91A48" w:rsidRPr="008A35B1">
        <w:rPr>
          <w:szCs w:val="20"/>
        </w:rPr>
        <w:t>, Nokia, “</w:t>
      </w:r>
      <w:r w:rsidR="0011629A" w:rsidRPr="008A35B1">
        <w:rPr>
          <w:szCs w:val="20"/>
        </w:rPr>
        <w:t>CSI enhancement for NR MIMO Phase 5</w:t>
      </w:r>
      <w:r w:rsidR="00B91A48" w:rsidRPr="008A35B1">
        <w:rPr>
          <w:szCs w:val="20"/>
        </w:rPr>
        <w:t>”, RAN1#</w:t>
      </w:r>
      <w:r w:rsidR="00CC3CA7" w:rsidRPr="008A35B1">
        <w:rPr>
          <w:szCs w:val="20"/>
        </w:rPr>
        <w:t>11</w:t>
      </w:r>
      <w:r w:rsidRPr="008A35B1">
        <w:rPr>
          <w:szCs w:val="20"/>
        </w:rPr>
        <w:t>8</w:t>
      </w:r>
      <w:r w:rsidR="00B91A48" w:rsidRPr="008A35B1">
        <w:rPr>
          <w:szCs w:val="20"/>
        </w:rPr>
        <w:t xml:space="preserve">, </w:t>
      </w:r>
      <w:r w:rsidRPr="008A35B1">
        <w:rPr>
          <w:szCs w:val="20"/>
        </w:rPr>
        <w:t>Maastricht</w:t>
      </w:r>
      <w:r w:rsidR="00B91A48" w:rsidRPr="008A35B1">
        <w:rPr>
          <w:szCs w:val="20"/>
        </w:rPr>
        <w:t xml:space="preserve">, </w:t>
      </w:r>
      <w:r w:rsidR="00EC51AD" w:rsidRPr="008A35B1">
        <w:rPr>
          <w:szCs w:val="20"/>
        </w:rPr>
        <w:t>Aug</w:t>
      </w:r>
      <w:r w:rsidR="00B91A48" w:rsidRPr="008A35B1">
        <w:rPr>
          <w:szCs w:val="20"/>
        </w:rPr>
        <w:t xml:space="preserve"> 20</w:t>
      </w:r>
      <w:r w:rsidR="0011629A" w:rsidRPr="008A35B1">
        <w:rPr>
          <w:szCs w:val="20"/>
        </w:rPr>
        <w:t>24</w:t>
      </w:r>
      <w:r w:rsidR="0031285F" w:rsidRPr="008A35B1">
        <w:rPr>
          <w:szCs w:val="20"/>
        </w:rPr>
        <w:t>.</w:t>
      </w:r>
    </w:p>
    <w:bookmarkEnd w:id="23"/>
    <w:p w14:paraId="057F2FE3" w14:textId="603AE5B8" w:rsidR="007653EA" w:rsidRPr="008A35B1" w:rsidRDefault="00631A1C" w:rsidP="00DE574D">
      <w:pPr>
        <w:pStyle w:val="ListParagraph"/>
        <w:numPr>
          <w:ilvl w:val="0"/>
          <w:numId w:val="1"/>
        </w:numPr>
        <w:ind w:left="426" w:hanging="426"/>
        <w:rPr>
          <w:szCs w:val="20"/>
        </w:rPr>
        <w:sectPr w:rsidR="007653EA" w:rsidRPr="008A35B1" w:rsidSect="007736FA">
          <w:footerReference w:type="default" r:id="rId16"/>
          <w:footnotePr>
            <w:numRestart w:val="eachSect"/>
          </w:footnotePr>
          <w:pgSz w:w="11907" w:h="16840" w:code="9"/>
          <w:pgMar w:top="1418" w:right="1134" w:bottom="1134" w:left="1134" w:header="680" w:footer="567" w:gutter="0"/>
          <w:cols w:space="720"/>
        </w:sectPr>
      </w:pPr>
      <w:r w:rsidRPr="008A35B1">
        <w:rPr>
          <w:szCs w:val="20"/>
        </w:rPr>
        <w:t>ITU WRC</w:t>
      </w:r>
      <w:r w:rsidR="007557D9" w:rsidRPr="008A35B1">
        <w:rPr>
          <w:szCs w:val="20"/>
        </w:rPr>
        <w:t>-</w:t>
      </w:r>
      <w:r w:rsidRPr="008A35B1">
        <w:rPr>
          <w:szCs w:val="20"/>
        </w:rPr>
        <w:t>23, “</w:t>
      </w:r>
      <w:r w:rsidR="007557D9" w:rsidRPr="008A35B1">
        <w:rPr>
          <w:szCs w:val="20"/>
        </w:rPr>
        <w:t>Final Acts</w:t>
      </w:r>
      <w:r w:rsidRPr="008A35B1">
        <w:rPr>
          <w:szCs w:val="20"/>
        </w:rPr>
        <w:t>”</w:t>
      </w:r>
      <w:r w:rsidR="007557D9" w:rsidRPr="008A35B1">
        <w:rPr>
          <w:szCs w:val="20"/>
        </w:rPr>
        <w:t>, Dubai</w:t>
      </w:r>
      <w:r w:rsidR="0052135E" w:rsidRPr="008A35B1">
        <w:rPr>
          <w:szCs w:val="20"/>
        </w:rPr>
        <w:t>, Nov-Dec 2023</w:t>
      </w:r>
    </w:p>
    <w:p w14:paraId="41BA8F3F" w14:textId="665CF89E" w:rsidR="00541E63" w:rsidRPr="008A35B1" w:rsidRDefault="00541E63" w:rsidP="00541E63">
      <w:pPr>
        <w:pStyle w:val="Heading1"/>
        <w:ind w:left="2127" w:hanging="2127"/>
      </w:pPr>
      <w:r w:rsidRPr="008A35B1">
        <w:t xml:space="preserve">Appendix </w:t>
      </w:r>
      <w:proofErr w:type="spellStart"/>
      <w:r w:rsidRPr="008A35B1">
        <w:t>A</w:t>
      </w:r>
      <w:proofErr w:type="spellEnd"/>
      <w:r w:rsidRPr="008A35B1">
        <w:tab/>
        <w:t>Expected EIRP limits within the frequency band 6</w:t>
      </w:r>
      <w:r w:rsidR="004E5ECB" w:rsidRPr="008A35B1">
        <w:t xml:space="preserve"> </w:t>
      </w:r>
      <w:r w:rsidRPr="008A35B1">
        <w:t>425-7</w:t>
      </w:r>
      <w:r w:rsidR="004E5ECB" w:rsidRPr="008A35B1">
        <w:t xml:space="preserve"> </w:t>
      </w:r>
      <w:r w:rsidRPr="008A35B1">
        <w:t>125 MHz</w:t>
      </w:r>
    </w:p>
    <w:p w14:paraId="5A58DDB7" w14:textId="77777777" w:rsidR="00B636A7" w:rsidRPr="008A35B1" w:rsidRDefault="00B636A7" w:rsidP="00B636A7">
      <w:pPr>
        <w:spacing w:after="180"/>
        <w:jc w:val="both"/>
      </w:pPr>
      <w:r w:rsidRPr="008A35B1">
        <w:t>In WRT-23 (world radio communication conference), the ITU introduced limits to the expected EIRP (effective isotropic radiated power) spectral density within the frequency band 6425–7125 MHz for different ranges of elevation angles above the horizon.</w:t>
      </w:r>
    </w:p>
    <w:p w14:paraId="1E3EACD8" w14:textId="3C192B65" w:rsidR="00B636A7" w:rsidRPr="008A35B1" w:rsidRDefault="00B636A7" w:rsidP="00B636A7">
      <w:pPr>
        <w:pStyle w:val="Caption"/>
        <w:keepNext/>
        <w:jc w:val="center"/>
      </w:pPr>
      <w:r w:rsidRPr="008A35B1">
        <w:t xml:space="preserve">Table </w:t>
      </w:r>
      <w:r w:rsidRPr="008A35B1">
        <w:fldChar w:fldCharType="begin"/>
      </w:r>
      <w:r w:rsidRPr="008A35B1">
        <w:instrText xml:space="preserve"> SEQ Table \* ARABIC </w:instrText>
      </w:r>
      <w:r w:rsidRPr="008A35B1">
        <w:fldChar w:fldCharType="separate"/>
      </w:r>
      <w:r w:rsidR="00761C39">
        <w:rPr>
          <w:noProof/>
        </w:rPr>
        <w:t>2</w:t>
      </w:r>
      <w:r w:rsidRPr="008A35B1">
        <w:fldChar w:fldCharType="end"/>
      </w:r>
    </w:p>
    <w:tbl>
      <w:tblPr>
        <w:tblStyle w:val="TableGrid5"/>
        <w:tblW w:w="0" w:type="auto"/>
        <w:jc w:val="center"/>
        <w:tblLook w:val="04A0" w:firstRow="1" w:lastRow="0" w:firstColumn="1" w:lastColumn="0" w:noHBand="0" w:noVBand="1"/>
      </w:tblPr>
      <w:tblGrid>
        <w:gridCol w:w="3599"/>
        <w:gridCol w:w="2726"/>
      </w:tblGrid>
      <w:tr w:rsidR="00B636A7" w:rsidRPr="008A35B1" w14:paraId="746C60E8" w14:textId="77777777">
        <w:trPr>
          <w:jc w:val="center"/>
        </w:trPr>
        <w:tc>
          <w:tcPr>
            <w:tcW w:w="3599" w:type="dxa"/>
            <w:vAlign w:val="center"/>
          </w:tcPr>
          <w:p w14:paraId="65799B81" w14:textId="77777777" w:rsidR="00B636A7" w:rsidRPr="008A35B1" w:rsidRDefault="00B636A7">
            <w:pPr>
              <w:widowControl w:val="0"/>
              <w:spacing w:line="214" w:lineRule="exact"/>
              <w:jc w:val="center"/>
              <w:rPr>
                <w:rFonts w:eastAsia="Times New Roman"/>
                <w:sz w:val="19"/>
                <w:szCs w:val="19"/>
              </w:rPr>
            </w:pPr>
            <w:r w:rsidRPr="008A35B1">
              <w:rPr>
                <w:rFonts w:eastAsia="Calibri" w:hAnsi="Calibri"/>
                <w:color w:val="231F20"/>
                <w:spacing w:val="-1"/>
                <w:sz w:val="19"/>
                <w:szCs w:val="22"/>
              </w:rPr>
              <w:t>Vertical</w:t>
            </w:r>
            <w:r w:rsidRPr="008A35B1">
              <w:rPr>
                <w:rFonts w:eastAsia="Calibri" w:hAnsi="Calibri"/>
                <w:color w:val="231F20"/>
                <w:spacing w:val="-9"/>
                <w:sz w:val="19"/>
                <w:szCs w:val="22"/>
              </w:rPr>
              <w:t xml:space="preserve"> </w:t>
            </w:r>
            <w:r w:rsidRPr="008A35B1">
              <w:rPr>
                <w:rFonts w:eastAsia="Calibri" w:hAnsi="Calibri"/>
                <w:color w:val="231F20"/>
                <w:spacing w:val="-1"/>
                <w:sz w:val="19"/>
                <w:szCs w:val="22"/>
              </w:rPr>
              <w:t>angle</w:t>
            </w:r>
            <w:r w:rsidRPr="008A35B1">
              <w:rPr>
                <w:rFonts w:eastAsia="Calibri" w:hAnsi="Calibri"/>
                <w:color w:val="231F20"/>
                <w:spacing w:val="-8"/>
                <w:sz w:val="19"/>
                <w:szCs w:val="22"/>
              </w:rPr>
              <w:t xml:space="preserve"> </w:t>
            </w:r>
            <w:r w:rsidRPr="008A35B1">
              <w:rPr>
                <w:rFonts w:eastAsia="Calibri" w:hAnsi="Calibri"/>
                <w:color w:val="231F20"/>
                <w:spacing w:val="-1"/>
                <w:sz w:val="19"/>
                <w:szCs w:val="22"/>
              </w:rPr>
              <w:t>range</w:t>
            </w:r>
          </w:p>
          <w:p w14:paraId="054F972F" w14:textId="77777777" w:rsidR="00B636A7" w:rsidRPr="008A35B1" w:rsidRDefault="00B636A7">
            <w:pPr>
              <w:widowControl w:val="0"/>
              <w:spacing w:line="217" w:lineRule="exact"/>
              <w:jc w:val="center"/>
              <w:rPr>
                <w:rFonts w:eastAsia="Times New Roman"/>
                <w:sz w:val="12"/>
                <w:szCs w:val="12"/>
              </w:rPr>
            </w:pPr>
            <w:r w:rsidRPr="008A35B1">
              <w:rPr>
                <w:rFonts w:eastAsia="Times New Roman"/>
                <w:color w:val="231F20"/>
                <w:spacing w:val="-1"/>
                <w:position w:val="2"/>
                <w:sz w:val="19"/>
                <w:szCs w:val="19"/>
              </w:rPr>
              <w:t>θ</w:t>
            </w:r>
            <w:r w:rsidRPr="008A35B1">
              <w:rPr>
                <w:rFonts w:eastAsia="Times New Roman"/>
                <w:i/>
                <w:color w:val="231F20"/>
                <w:spacing w:val="-1"/>
                <w:sz w:val="12"/>
                <w:szCs w:val="12"/>
              </w:rPr>
              <w:t>L</w:t>
            </w:r>
            <w:r w:rsidRPr="008A35B1">
              <w:rPr>
                <w:rFonts w:eastAsia="Times New Roman"/>
                <w:i/>
                <w:color w:val="231F20"/>
                <w:spacing w:val="18"/>
                <w:sz w:val="12"/>
                <w:szCs w:val="12"/>
              </w:rPr>
              <w:t xml:space="preserve"> </w:t>
            </w:r>
            <w:r w:rsidRPr="008A35B1">
              <w:rPr>
                <w:rFonts w:eastAsia="Times New Roman"/>
                <w:color w:val="231F20"/>
                <w:position w:val="2"/>
                <w:sz w:val="19"/>
                <w:szCs w:val="19"/>
              </w:rPr>
              <w:t>≤ θ</w:t>
            </w:r>
            <w:r w:rsidRPr="008A35B1">
              <w:rPr>
                <w:rFonts w:eastAsia="Times New Roman"/>
                <w:color w:val="231F20"/>
                <w:spacing w:val="-4"/>
                <w:position w:val="2"/>
                <w:sz w:val="19"/>
                <w:szCs w:val="19"/>
              </w:rPr>
              <w:t xml:space="preserve"> </w:t>
            </w:r>
            <w:r w:rsidRPr="008A35B1">
              <w:rPr>
                <w:rFonts w:eastAsia="Times New Roman"/>
                <w:color w:val="231F20"/>
                <w:position w:val="2"/>
                <w:sz w:val="19"/>
                <w:szCs w:val="19"/>
              </w:rPr>
              <w:t>&lt;</w:t>
            </w:r>
            <w:r w:rsidRPr="008A35B1">
              <w:rPr>
                <w:rFonts w:eastAsia="Times New Roman"/>
                <w:color w:val="231F20"/>
                <w:spacing w:val="-2"/>
                <w:position w:val="2"/>
                <w:sz w:val="19"/>
                <w:szCs w:val="19"/>
              </w:rPr>
              <w:t xml:space="preserve"> </w:t>
            </w:r>
            <w:r w:rsidRPr="008A35B1">
              <w:rPr>
                <w:rFonts w:eastAsia="Times New Roman"/>
                <w:color w:val="231F20"/>
                <w:spacing w:val="-1"/>
                <w:position w:val="2"/>
                <w:sz w:val="19"/>
                <w:szCs w:val="19"/>
              </w:rPr>
              <w:t>θ</w:t>
            </w:r>
            <w:r w:rsidRPr="008A35B1">
              <w:rPr>
                <w:rFonts w:eastAsia="Times New Roman"/>
                <w:i/>
                <w:color w:val="231F20"/>
                <w:spacing w:val="-1"/>
                <w:sz w:val="12"/>
                <w:szCs w:val="12"/>
              </w:rPr>
              <w:t>H</w:t>
            </w:r>
          </w:p>
          <w:p w14:paraId="59678817" w14:textId="77777777" w:rsidR="00B636A7" w:rsidRPr="008A35B1" w:rsidRDefault="00B636A7">
            <w:pPr>
              <w:widowControl w:val="0"/>
              <w:spacing w:line="216" w:lineRule="exact"/>
              <w:jc w:val="center"/>
              <w:rPr>
                <w:rFonts w:eastAsia="Times New Roman"/>
                <w:sz w:val="19"/>
                <w:szCs w:val="19"/>
              </w:rPr>
            </w:pPr>
            <w:r w:rsidRPr="008A35B1">
              <w:rPr>
                <w:rFonts w:eastAsia="Calibri"/>
                <w:color w:val="231F20"/>
                <w:spacing w:val="-1"/>
                <w:sz w:val="19"/>
                <w:szCs w:val="22"/>
              </w:rPr>
              <w:t>(vertical</w:t>
            </w:r>
            <w:r w:rsidRPr="008A35B1">
              <w:rPr>
                <w:rFonts w:eastAsia="Calibri"/>
                <w:color w:val="231F20"/>
                <w:spacing w:val="-7"/>
                <w:sz w:val="19"/>
                <w:szCs w:val="22"/>
              </w:rPr>
              <w:t xml:space="preserve"> </w:t>
            </w:r>
            <w:r w:rsidRPr="008A35B1">
              <w:rPr>
                <w:rFonts w:eastAsia="Calibri"/>
                <w:color w:val="231F20"/>
                <w:spacing w:val="-2"/>
                <w:sz w:val="19"/>
                <w:szCs w:val="22"/>
              </w:rPr>
              <w:t>angle</w:t>
            </w:r>
            <w:r w:rsidRPr="008A35B1">
              <w:rPr>
                <w:rFonts w:eastAsia="Calibri"/>
                <w:color w:val="231F20"/>
                <w:spacing w:val="-3"/>
                <w:sz w:val="19"/>
                <w:szCs w:val="22"/>
              </w:rPr>
              <w:t xml:space="preserve"> </w:t>
            </w:r>
            <w:r w:rsidRPr="008A35B1">
              <w:rPr>
                <w:rFonts w:eastAsia="Calibri"/>
                <w:color w:val="231F20"/>
                <w:sz w:val="19"/>
                <w:szCs w:val="22"/>
              </w:rPr>
              <w:t>θ</w:t>
            </w:r>
            <w:r w:rsidRPr="008A35B1">
              <w:rPr>
                <w:rFonts w:eastAsia="Calibri"/>
                <w:color w:val="231F20"/>
                <w:spacing w:val="-9"/>
                <w:sz w:val="19"/>
                <w:szCs w:val="22"/>
              </w:rPr>
              <w:t xml:space="preserve"> </w:t>
            </w:r>
            <w:r w:rsidRPr="008A35B1">
              <w:rPr>
                <w:rFonts w:eastAsia="Calibri"/>
                <w:color w:val="231F20"/>
                <w:spacing w:val="-1"/>
                <w:sz w:val="19"/>
                <w:szCs w:val="22"/>
              </w:rPr>
              <w:t>above</w:t>
            </w:r>
            <w:r w:rsidRPr="008A35B1">
              <w:rPr>
                <w:rFonts w:eastAsia="Calibri"/>
                <w:color w:val="231F20"/>
                <w:spacing w:val="-7"/>
                <w:sz w:val="19"/>
                <w:szCs w:val="22"/>
              </w:rPr>
              <w:t xml:space="preserve"> </w:t>
            </w:r>
            <w:r w:rsidRPr="008A35B1">
              <w:rPr>
                <w:rFonts w:eastAsia="Calibri"/>
                <w:color w:val="231F20"/>
                <w:spacing w:val="-1"/>
                <w:sz w:val="19"/>
                <w:szCs w:val="22"/>
              </w:rPr>
              <w:t>horizon)</w:t>
            </w:r>
          </w:p>
          <w:p w14:paraId="73DCC606" w14:textId="77777777" w:rsidR="00B636A7" w:rsidRPr="008A35B1" w:rsidRDefault="00B636A7">
            <w:pPr>
              <w:widowControl w:val="0"/>
              <w:rPr>
                <w:rFonts w:eastAsia="Times New Roman"/>
                <w:color w:val="231F20"/>
                <w:sz w:val="19"/>
                <w:szCs w:val="19"/>
              </w:rPr>
            </w:pPr>
          </w:p>
        </w:tc>
        <w:tc>
          <w:tcPr>
            <w:tcW w:w="0" w:type="auto"/>
            <w:vAlign w:val="center"/>
          </w:tcPr>
          <w:p w14:paraId="77A5D50E" w14:textId="77777777" w:rsidR="00B636A7" w:rsidRPr="008A35B1" w:rsidRDefault="00B636A7">
            <w:pPr>
              <w:widowControl w:val="0"/>
              <w:jc w:val="center"/>
              <w:rPr>
                <w:rFonts w:eastAsia="Times New Roman"/>
                <w:color w:val="231F20"/>
                <w:sz w:val="19"/>
                <w:szCs w:val="19"/>
              </w:rPr>
            </w:pPr>
            <w:r w:rsidRPr="008A35B1">
              <w:rPr>
                <w:rFonts w:eastAsia="Times New Roman"/>
                <w:color w:val="231F20"/>
                <w:sz w:val="19"/>
                <w:szCs w:val="19"/>
              </w:rPr>
              <w:t>Expected EIRP (dBm/MHz)</w:t>
            </w:r>
          </w:p>
          <w:p w14:paraId="2FEB641C" w14:textId="77777777" w:rsidR="00B636A7" w:rsidRPr="008A35B1" w:rsidRDefault="00B636A7">
            <w:pPr>
              <w:widowControl w:val="0"/>
              <w:jc w:val="center"/>
              <w:rPr>
                <w:rFonts w:eastAsia="Times New Roman"/>
                <w:color w:val="231F20"/>
                <w:sz w:val="19"/>
                <w:szCs w:val="19"/>
              </w:rPr>
            </w:pPr>
            <w:r w:rsidRPr="008A35B1">
              <w:rPr>
                <w:rFonts w:eastAsia="Times New Roman"/>
                <w:color w:val="231F20"/>
                <w:sz w:val="19"/>
                <w:szCs w:val="19"/>
              </w:rPr>
              <w:t>(See NOTES 1, 2 and 3)</w:t>
            </w:r>
          </w:p>
        </w:tc>
      </w:tr>
      <w:tr w:rsidR="00B636A7" w:rsidRPr="008A35B1" w14:paraId="355FF5E9" w14:textId="77777777">
        <w:trPr>
          <w:jc w:val="center"/>
        </w:trPr>
        <w:tc>
          <w:tcPr>
            <w:tcW w:w="3599" w:type="dxa"/>
            <w:vAlign w:val="center"/>
          </w:tcPr>
          <w:p w14:paraId="7CCEA335" w14:textId="77777777" w:rsidR="00B636A7" w:rsidRPr="008A35B1" w:rsidRDefault="00B636A7">
            <w:pPr>
              <w:widowControl w:val="0"/>
              <w:rPr>
                <w:rFonts w:eastAsia="Times New Roman"/>
                <w:color w:val="231F20"/>
                <w:sz w:val="19"/>
                <w:szCs w:val="19"/>
              </w:rPr>
            </w:pPr>
            <w:r w:rsidRPr="008A35B1">
              <w:rPr>
                <w:rFonts w:eastAsia="Times New Roman"/>
                <w:color w:val="231F20"/>
                <w:sz w:val="19"/>
                <w:szCs w:val="19"/>
              </w:rPr>
              <w:t>0</w:t>
            </w:r>
            <w:r w:rsidRPr="008A35B1">
              <w:rPr>
                <w:rFonts w:ascii="Symbol" w:eastAsia="Symbol" w:hAnsi="Symbol" w:cs="Symbol"/>
                <w:color w:val="231F20"/>
                <w:sz w:val="19"/>
                <w:szCs w:val="19"/>
              </w:rPr>
              <w:t></w:t>
            </w:r>
            <w:r w:rsidRPr="008A35B1">
              <w:rPr>
                <w:rFonts w:ascii="Symbol" w:eastAsia="Symbol" w:hAnsi="Symbol" w:cs="Symbol"/>
                <w:color w:val="231F20"/>
                <w:spacing w:val="2"/>
                <w:sz w:val="19"/>
                <w:szCs w:val="19"/>
              </w:rPr>
              <w:t></w:t>
            </w:r>
            <w:r w:rsidRPr="008A35B1">
              <w:rPr>
                <w:rFonts w:eastAsia="Times New Roman"/>
                <w:color w:val="231F20"/>
                <w:sz w:val="19"/>
                <w:szCs w:val="19"/>
              </w:rPr>
              <w:t>≤</w:t>
            </w:r>
            <w:r w:rsidRPr="008A35B1">
              <w:rPr>
                <w:rFonts w:eastAsia="Times New Roman"/>
                <w:color w:val="231F20"/>
                <w:spacing w:val="-3"/>
                <w:sz w:val="19"/>
                <w:szCs w:val="19"/>
              </w:rPr>
              <w:t xml:space="preserve"> </w:t>
            </w:r>
            <w:r w:rsidRPr="008A35B1">
              <w:rPr>
                <w:rFonts w:eastAsia="Times New Roman"/>
                <w:color w:val="231F20"/>
                <w:sz w:val="19"/>
                <w:szCs w:val="19"/>
              </w:rPr>
              <w:t>θ</w:t>
            </w:r>
            <w:r w:rsidRPr="008A35B1">
              <w:rPr>
                <w:rFonts w:eastAsia="Times New Roman"/>
                <w:color w:val="231F20"/>
                <w:spacing w:val="-3"/>
                <w:sz w:val="19"/>
                <w:szCs w:val="19"/>
              </w:rPr>
              <w:t xml:space="preserve"> </w:t>
            </w:r>
            <w:r w:rsidRPr="008A35B1">
              <w:rPr>
                <w:rFonts w:eastAsia="Times New Roman"/>
                <w:color w:val="231F20"/>
                <w:sz w:val="19"/>
                <w:szCs w:val="19"/>
              </w:rPr>
              <w:t>&lt;</w:t>
            </w:r>
            <w:r w:rsidRPr="008A35B1">
              <w:rPr>
                <w:rFonts w:eastAsia="Times New Roman"/>
                <w:color w:val="231F20"/>
                <w:spacing w:val="-2"/>
                <w:sz w:val="19"/>
                <w:szCs w:val="19"/>
              </w:rPr>
              <w:t xml:space="preserve"> </w:t>
            </w:r>
            <w:r w:rsidRPr="008A35B1">
              <w:rPr>
                <w:rFonts w:eastAsia="Times New Roman"/>
                <w:color w:val="231F20"/>
                <w:sz w:val="19"/>
                <w:szCs w:val="19"/>
              </w:rPr>
              <w:t>5</w:t>
            </w:r>
            <w:r w:rsidRPr="008A35B1">
              <w:rPr>
                <w:rFonts w:ascii="Symbol" w:eastAsia="Symbol" w:hAnsi="Symbol" w:cs="Symbol"/>
                <w:color w:val="231F20"/>
                <w:sz w:val="19"/>
                <w:szCs w:val="19"/>
              </w:rPr>
              <w:t></w:t>
            </w:r>
          </w:p>
        </w:tc>
        <w:tc>
          <w:tcPr>
            <w:tcW w:w="0" w:type="auto"/>
            <w:vAlign w:val="center"/>
          </w:tcPr>
          <w:p w14:paraId="1E581D12" w14:textId="77777777" w:rsidR="00B636A7" w:rsidRPr="008A35B1" w:rsidRDefault="00B636A7">
            <w:pPr>
              <w:widowControl w:val="0"/>
              <w:rPr>
                <w:rFonts w:eastAsia="Times New Roman"/>
                <w:sz w:val="19"/>
                <w:szCs w:val="19"/>
              </w:rPr>
            </w:pPr>
            <w:r w:rsidRPr="008A35B1">
              <w:rPr>
                <w:rFonts w:eastAsia="Times New Roman"/>
                <w:color w:val="231F20"/>
                <w:sz w:val="19"/>
                <w:szCs w:val="19"/>
              </w:rPr>
              <w:t>27</w:t>
            </w:r>
          </w:p>
        </w:tc>
      </w:tr>
      <w:tr w:rsidR="00B636A7" w:rsidRPr="008A35B1" w14:paraId="3380D955" w14:textId="77777777">
        <w:trPr>
          <w:jc w:val="center"/>
        </w:trPr>
        <w:tc>
          <w:tcPr>
            <w:tcW w:w="3599" w:type="dxa"/>
            <w:vAlign w:val="center"/>
          </w:tcPr>
          <w:p w14:paraId="3D69B23A" w14:textId="77777777" w:rsidR="00B636A7" w:rsidRPr="008A35B1" w:rsidRDefault="00B636A7">
            <w:pPr>
              <w:widowControl w:val="0"/>
              <w:rPr>
                <w:rFonts w:eastAsia="Times New Roman"/>
                <w:color w:val="231F20"/>
                <w:sz w:val="19"/>
                <w:szCs w:val="19"/>
              </w:rPr>
            </w:pPr>
            <w:r w:rsidRPr="008A35B1">
              <w:rPr>
                <w:rFonts w:eastAsia="Times New Roman"/>
                <w:color w:val="231F20"/>
                <w:sz w:val="19"/>
                <w:szCs w:val="19"/>
              </w:rPr>
              <w:t>5</w:t>
            </w:r>
            <w:r w:rsidRPr="008A35B1">
              <w:rPr>
                <w:rFonts w:ascii="Symbol" w:eastAsia="Symbol" w:hAnsi="Symbol" w:cs="Symbol"/>
                <w:color w:val="231F20"/>
                <w:sz w:val="19"/>
                <w:szCs w:val="19"/>
              </w:rPr>
              <w:t></w:t>
            </w:r>
            <w:r w:rsidRPr="008A35B1">
              <w:rPr>
                <w:rFonts w:ascii="Symbol" w:eastAsia="Symbol" w:hAnsi="Symbol" w:cs="Symbol"/>
                <w:color w:val="231F20"/>
                <w:spacing w:val="2"/>
                <w:sz w:val="19"/>
                <w:szCs w:val="19"/>
              </w:rPr>
              <w:t></w:t>
            </w:r>
            <w:r w:rsidRPr="008A35B1">
              <w:rPr>
                <w:rFonts w:eastAsia="Times New Roman"/>
                <w:color w:val="231F20"/>
                <w:sz w:val="19"/>
                <w:szCs w:val="19"/>
              </w:rPr>
              <w:t>≤</w:t>
            </w:r>
            <w:r w:rsidRPr="008A35B1">
              <w:rPr>
                <w:rFonts w:eastAsia="Times New Roman"/>
                <w:color w:val="231F20"/>
                <w:spacing w:val="-3"/>
                <w:sz w:val="19"/>
                <w:szCs w:val="19"/>
              </w:rPr>
              <w:t xml:space="preserve"> </w:t>
            </w:r>
            <w:r w:rsidRPr="008A35B1">
              <w:rPr>
                <w:rFonts w:eastAsia="Times New Roman"/>
                <w:color w:val="231F20"/>
                <w:sz w:val="19"/>
                <w:szCs w:val="19"/>
              </w:rPr>
              <w:t>θ</w:t>
            </w:r>
            <w:r w:rsidRPr="008A35B1">
              <w:rPr>
                <w:rFonts w:eastAsia="Times New Roman"/>
                <w:color w:val="231F20"/>
                <w:spacing w:val="-3"/>
                <w:sz w:val="19"/>
                <w:szCs w:val="19"/>
              </w:rPr>
              <w:t xml:space="preserve"> </w:t>
            </w:r>
            <w:r w:rsidRPr="008A35B1">
              <w:rPr>
                <w:rFonts w:eastAsia="Times New Roman"/>
                <w:color w:val="231F20"/>
                <w:sz w:val="19"/>
                <w:szCs w:val="19"/>
              </w:rPr>
              <w:t>&lt;</w:t>
            </w:r>
            <w:r w:rsidRPr="008A35B1">
              <w:rPr>
                <w:rFonts w:eastAsia="Times New Roman"/>
                <w:color w:val="231F20"/>
                <w:spacing w:val="-2"/>
                <w:sz w:val="19"/>
                <w:szCs w:val="19"/>
              </w:rPr>
              <w:t xml:space="preserve"> </w:t>
            </w:r>
            <w:r w:rsidRPr="008A35B1">
              <w:rPr>
                <w:rFonts w:eastAsia="Times New Roman"/>
                <w:color w:val="231F20"/>
                <w:sz w:val="19"/>
                <w:szCs w:val="19"/>
              </w:rPr>
              <w:t>10</w:t>
            </w:r>
            <w:r w:rsidRPr="008A35B1">
              <w:rPr>
                <w:rFonts w:ascii="Symbol" w:eastAsia="Symbol" w:hAnsi="Symbol" w:cs="Symbol"/>
                <w:color w:val="231F20"/>
                <w:sz w:val="19"/>
                <w:szCs w:val="19"/>
              </w:rPr>
              <w:t></w:t>
            </w:r>
          </w:p>
        </w:tc>
        <w:tc>
          <w:tcPr>
            <w:tcW w:w="0" w:type="auto"/>
            <w:vAlign w:val="center"/>
          </w:tcPr>
          <w:p w14:paraId="1AE738F5" w14:textId="77777777" w:rsidR="00B636A7" w:rsidRPr="008A35B1" w:rsidRDefault="00B636A7">
            <w:pPr>
              <w:widowControl w:val="0"/>
              <w:rPr>
                <w:rFonts w:eastAsia="Times New Roman"/>
                <w:sz w:val="19"/>
                <w:szCs w:val="19"/>
              </w:rPr>
            </w:pPr>
            <w:r w:rsidRPr="008A35B1">
              <w:rPr>
                <w:rFonts w:eastAsia="Times New Roman"/>
                <w:color w:val="231F20"/>
                <w:sz w:val="19"/>
                <w:szCs w:val="19"/>
              </w:rPr>
              <w:t>23</w:t>
            </w:r>
          </w:p>
        </w:tc>
      </w:tr>
      <w:tr w:rsidR="00B636A7" w:rsidRPr="008A35B1" w14:paraId="6CEDADFE" w14:textId="77777777">
        <w:trPr>
          <w:jc w:val="center"/>
        </w:trPr>
        <w:tc>
          <w:tcPr>
            <w:tcW w:w="3599" w:type="dxa"/>
            <w:vAlign w:val="center"/>
          </w:tcPr>
          <w:p w14:paraId="711E72E9" w14:textId="77777777" w:rsidR="00B636A7" w:rsidRPr="008A35B1" w:rsidRDefault="00B636A7">
            <w:pPr>
              <w:widowControl w:val="0"/>
              <w:rPr>
                <w:rFonts w:eastAsia="Times New Roman"/>
                <w:color w:val="231F20"/>
                <w:spacing w:val="-2"/>
                <w:sz w:val="19"/>
                <w:szCs w:val="19"/>
              </w:rPr>
            </w:pPr>
            <w:r w:rsidRPr="008A35B1">
              <w:rPr>
                <w:rFonts w:eastAsia="Times New Roman"/>
                <w:color w:val="231F20"/>
                <w:sz w:val="19"/>
                <w:szCs w:val="19"/>
              </w:rPr>
              <w:t>10</w:t>
            </w:r>
            <w:r w:rsidRPr="008A35B1">
              <w:rPr>
                <w:rFonts w:ascii="Symbol" w:eastAsia="Symbol" w:hAnsi="Symbol" w:cs="Symbol"/>
                <w:color w:val="231F20"/>
                <w:sz w:val="19"/>
                <w:szCs w:val="19"/>
              </w:rPr>
              <w:t></w:t>
            </w:r>
            <w:r w:rsidRPr="008A35B1">
              <w:rPr>
                <w:rFonts w:eastAsia="Times New Roman"/>
                <w:color w:val="231F20"/>
                <w:sz w:val="19"/>
                <w:szCs w:val="19"/>
              </w:rPr>
              <w:t>≤ θ</w:t>
            </w:r>
            <w:r w:rsidRPr="008A35B1">
              <w:rPr>
                <w:rFonts w:eastAsia="Times New Roman"/>
                <w:color w:val="231F20"/>
                <w:spacing w:val="-8"/>
                <w:sz w:val="19"/>
                <w:szCs w:val="19"/>
              </w:rPr>
              <w:t xml:space="preserve"> </w:t>
            </w:r>
            <w:r w:rsidRPr="008A35B1">
              <w:rPr>
                <w:rFonts w:eastAsia="Times New Roman"/>
                <w:color w:val="231F20"/>
                <w:sz w:val="19"/>
                <w:szCs w:val="19"/>
              </w:rPr>
              <w:t>&lt;</w:t>
            </w:r>
            <w:r w:rsidRPr="008A35B1">
              <w:rPr>
                <w:rFonts w:eastAsia="Times New Roman"/>
                <w:color w:val="231F20"/>
                <w:spacing w:val="3"/>
                <w:sz w:val="19"/>
                <w:szCs w:val="19"/>
              </w:rPr>
              <w:t xml:space="preserve"> </w:t>
            </w:r>
            <w:r w:rsidRPr="008A35B1">
              <w:rPr>
                <w:rFonts w:eastAsia="Times New Roman"/>
                <w:color w:val="231F20"/>
                <w:spacing w:val="-2"/>
                <w:sz w:val="19"/>
                <w:szCs w:val="19"/>
              </w:rPr>
              <w:t>15</w:t>
            </w:r>
            <w:r w:rsidRPr="008A35B1">
              <w:rPr>
                <w:rFonts w:ascii="Symbol" w:eastAsia="Symbol" w:hAnsi="Symbol" w:cs="Symbol"/>
                <w:color w:val="231F20"/>
                <w:spacing w:val="-2"/>
                <w:sz w:val="19"/>
                <w:szCs w:val="19"/>
              </w:rPr>
              <w:t></w:t>
            </w:r>
          </w:p>
        </w:tc>
        <w:tc>
          <w:tcPr>
            <w:tcW w:w="0" w:type="auto"/>
            <w:vAlign w:val="center"/>
          </w:tcPr>
          <w:p w14:paraId="382B371A" w14:textId="77777777" w:rsidR="00B636A7" w:rsidRPr="008A35B1" w:rsidRDefault="00B636A7">
            <w:pPr>
              <w:widowControl w:val="0"/>
              <w:rPr>
                <w:rFonts w:eastAsia="Times New Roman"/>
                <w:sz w:val="19"/>
                <w:szCs w:val="19"/>
              </w:rPr>
            </w:pPr>
            <w:r w:rsidRPr="008A35B1">
              <w:rPr>
                <w:rFonts w:eastAsia="Times New Roman"/>
                <w:color w:val="231F20"/>
                <w:sz w:val="19"/>
                <w:szCs w:val="19"/>
              </w:rPr>
              <w:t>19</w:t>
            </w:r>
          </w:p>
        </w:tc>
      </w:tr>
      <w:tr w:rsidR="00B636A7" w:rsidRPr="008A35B1" w14:paraId="09A84598" w14:textId="77777777">
        <w:trPr>
          <w:jc w:val="center"/>
        </w:trPr>
        <w:tc>
          <w:tcPr>
            <w:tcW w:w="3599" w:type="dxa"/>
            <w:vAlign w:val="center"/>
          </w:tcPr>
          <w:p w14:paraId="7538E966" w14:textId="77777777" w:rsidR="00B636A7" w:rsidRPr="008A35B1" w:rsidRDefault="00B636A7">
            <w:pPr>
              <w:widowControl w:val="0"/>
              <w:rPr>
                <w:rFonts w:eastAsia="Times New Roman"/>
                <w:color w:val="231F20"/>
                <w:spacing w:val="-2"/>
                <w:sz w:val="19"/>
                <w:szCs w:val="19"/>
              </w:rPr>
            </w:pPr>
            <w:r w:rsidRPr="008A35B1">
              <w:rPr>
                <w:rFonts w:eastAsia="Times New Roman"/>
                <w:color w:val="231F20"/>
                <w:sz w:val="19"/>
                <w:szCs w:val="19"/>
              </w:rPr>
              <w:t>15</w:t>
            </w:r>
            <w:r w:rsidRPr="008A35B1">
              <w:rPr>
                <w:rFonts w:ascii="Symbol" w:eastAsia="Symbol" w:hAnsi="Symbol" w:cs="Symbol"/>
                <w:color w:val="231F20"/>
                <w:sz w:val="19"/>
                <w:szCs w:val="19"/>
              </w:rPr>
              <w:t></w:t>
            </w:r>
            <w:r w:rsidRPr="008A35B1">
              <w:rPr>
                <w:rFonts w:eastAsia="Times New Roman"/>
                <w:color w:val="231F20"/>
                <w:sz w:val="19"/>
                <w:szCs w:val="19"/>
              </w:rPr>
              <w:t>≤ θ</w:t>
            </w:r>
            <w:r w:rsidRPr="008A35B1">
              <w:rPr>
                <w:rFonts w:eastAsia="Times New Roman"/>
                <w:color w:val="231F20"/>
                <w:spacing w:val="-8"/>
                <w:sz w:val="19"/>
                <w:szCs w:val="19"/>
              </w:rPr>
              <w:t xml:space="preserve"> </w:t>
            </w:r>
            <w:r w:rsidRPr="008A35B1">
              <w:rPr>
                <w:rFonts w:eastAsia="Times New Roman"/>
                <w:color w:val="231F20"/>
                <w:sz w:val="19"/>
                <w:szCs w:val="19"/>
              </w:rPr>
              <w:t>&lt;</w:t>
            </w:r>
            <w:r w:rsidRPr="008A35B1">
              <w:rPr>
                <w:rFonts w:eastAsia="Times New Roman"/>
                <w:color w:val="231F20"/>
                <w:spacing w:val="3"/>
                <w:sz w:val="19"/>
                <w:szCs w:val="19"/>
              </w:rPr>
              <w:t xml:space="preserve"> </w:t>
            </w:r>
            <w:r w:rsidRPr="008A35B1">
              <w:rPr>
                <w:rFonts w:eastAsia="Times New Roman"/>
                <w:color w:val="231F20"/>
                <w:spacing w:val="-2"/>
                <w:sz w:val="19"/>
                <w:szCs w:val="19"/>
              </w:rPr>
              <w:t>20</w:t>
            </w:r>
            <w:r w:rsidRPr="008A35B1">
              <w:rPr>
                <w:rFonts w:ascii="Symbol" w:eastAsia="Symbol" w:hAnsi="Symbol" w:cs="Symbol"/>
                <w:color w:val="231F20"/>
                <w:spacing w:val="-2"/>
                <w:sz w:val="19"/>
                <w:szCs w:val="19"/>
              </w:rPr>
              <w:t></w:t>
            </w:r>
          </w:p>
        </w:tc>
        <w:tc>
          <w:tcPr>
            <w:tcW w:w="0" w:type="auto"/>
            <w:vAlign w:val="center"/>
          </w:tcPr>
          <w:p w14:paraId="235EDF46" w14:textId="77777777" w:rsidR="00B636A7" w:rsidRPr="008A35B1" w:rsidRDefault="00B636A7">
            <w:pPr>
              <w:widowControl w:val="0"/>
              <w:rPr>
                <w:rFonts w:eastAsia="Times New Roman"/>
                <w:sz w:val="19"/>
                <w:szCs w:val="19"/>
              </w:rPr>
            </w:pPr>
            <w:r w:rsidRPr="008A35B1">
              <w:rPr>
                <w:rFonts w:eastAsia="Times New Roman"/>
                <w:color w:val="231F20"/>
                <w:sz w:val="19"/>
                <w:szCs w:val="19"/>
              </w:rPr>
              <w:t>18</w:t>
            </w:r>
          </w:p>
        </w:tc>
      </w:tr>
      <w:tr w:rsidR="00B636A7" w:rsidRPr="008A35B1" w14:paraId="21956EFD" w14:textId="77777777">
        <w:trPr>
          <w:jc w:val="center"/>
        </w:trPr>
        <w:tc>
          <w:tcPr>
            <w:tcW w:w="3599" w:type="dxa"/>
            <w:vAlign w:val="center"/>
          </w:tcPr>
          <w:p w14:paraId="17827E6F" w14:textId="77777777" w:rsidR="00B636A7" w:rsidRPr="008A35B1" w:rsidRDefault="00B636A7">
            <w:pPr>
              <w:widowControl w:val="0"/>
              <w:rPr>
                <w:rFonts w:eastAsia="Times New Roman"/>
                <w:color w:val="231F20"/>
                <w:sz w:val="19"/>
                <w:szCs w:val="19"/>
              </w:rPr>
            </w:pPr>
            <w:r w:rsidRPr="008A35B1">
              <w:rPr>
                <w:rFonts w:eastAsia="Times New Roman"/>
                <w:color w:val="231F20"/>
                <w:sz w:val="19"/>
                <w:szCs w:val="19"/>
              </w:rPr>
              <w:t>20</w:t>
            </w:r>
            <w:r w:rsidRPr="008A35B1">
              <w:rPr>
                <w:rFonts w:ascii="Symbol" w:eastAsia="Symbol" w:hAnsi="Symbol" w:cs="Symbol"/>
                <w:color w:val="231F20"/>
                <w:sz w:val="19"/>
                <w:szCs w:val="19"/>
              </w:rPr>
              <w:t></w:t>
            </w:r>
            <w:r w:rsidRPr="008A35B1">
              <w:rPr>
                <w:rFonts w:eastAsia="Times New Roman"/>
                <w:color w:val="231F20"/>
                <w:sz w:val="19"/>
                <w:szCs w:val="19"/>
              </w:rPr>
              <w:t>≤ θ</w:t>
            </w:r>
            <w:r w:rsidRPr="008A35B1">
              <w:rPr>
                <w:rFonts w:eastAsia="Times New Roman"/>
                <w:color w:val="231F20"/>
                <w:spacing w:val="-8"/>
                <w:sz w:val="19"/>
                <w:szCs w:val="19"/>
              </w:rPr>
              <w:t xml:space="preserve"> </w:t>
            </w:r>
            <w:r w:rsidRPr="008A35B1">
              <w:rPr>
                <w:rFonts w:eastAsia="Times New Roman"/>
                <w:color w:val="231F20"/>
                <w:sz w:val="19"/>
                <w:szCs w:val="19"/>
              </w:rPr>
              <w:t>&lt;30</w:t>
            </w:r>
            <w:r w:rsidRPr="008A35B1">
              <w:rPr>
                <w:rFonts w:ascii="Symbol" w:eastAsia="Symbol" w:hAnsi="Symbol" w:cs="Symbol"/>
                <w:color w:val="231F20"/>
                <w:sz w:val="19"/>
                <w:szCs w:val="19"/>
              </w:rPr>
              <w:t></w:t>
            </w:r>
          </w:p>
        </w:tc>
        <w:tc>
          <w:tcPr>
            <w:tcW w:w="0" w:type="auto"/>
            <w:vAlign w:val="center"/>
          </w:tcPr>
          <w:p w14:paraId="0439343B" w14:textId="77777777" w:rsidR="00B636A7" w:rsidRPr="008A35B1" w:rsidRDefault="00B636A7">
            <w:pPr>
              <w:widowControl w:val="0"/>
              <w:rPr>
                <w:rFonts w:eastAsia="Times New Roman"/>
                <w:sz w:val="19"/>
                <w:szCs w:val="19"/>
              </w:rPr>
            </w:pPr>
            <w:r w:rsidRPr="008A35B1">
              <w:rPr>
                <w:rFonts w:eastAsia="Times New Roman"/>
                <w:color w:val="231F20"/>
                <w:sz w:val="19"/>
                <w:szCs w:val="19"/>
              </w:rPr>
              <w:t>16</w:t>
            </w:r>
          </w:p>
        </w:tc>
      </w:tr>
      <w:tr w:rsidR="00B636A7" w:rsidRPr="008A35B1" w14:paraId="1615BE82" w14:textId="77777777">
        <w:trPr>
          <w:jc w:val="center"/>
        </w:trPr>
        <w:tc>
          <w:tcPr>
            <w:tcW w:w="3599" w:type="dxa"/>
            <w:vAlign w:val="center"/>
          </w:tcPr>
          <w:p w14:paraId="7CCF922F" w14:textId="77777777" w:rsidR="00B636A7" w:rsidRPr="008A35B1" w:rsidRDefault="00B636A7">
            <w:pPr>
              <w:widowControl w:val="0"/>
              <w:rPr>
                <w:rFonts w:eastAsia="Times New Roman"/>
                <w:color w:val="231F20"/>
                <w:spacing w:val="-2"/>
                <w:position w:val="1"/>
                <w:sz w:val="19"/>
                <w:szCs w:val="19"/>
              </w:rPr>
            </w:pPr>
            <w:r w:rsidRPr="008A35B1">
              <w:rPr>
                <w:rFonts w:eastAsia="Times New Roman"/>
                <w:color w:val="231F20"/>
                <w:sz w:val="19"/>
                <w:szCs w:val="19"/>
              </w:rPr>
              <w:t>30</w:t>
            </w:r>
            <w:r w:rsidRPr="008A35B1">
              <w:rPr>
                <w:rFonts w:ascii="Symbol" w:eastAsia="Symbol" w:hAnsi="Symbol" w:cs="Symbol"/>
                <w:color w:val="231F20"/>
                <w:sz w:val="19"/>
                <w:szCs w:val="19"/>
              </w:rPr>
              <w:t></w:t>
            </w:r>
            <w:r w:rsidRPr="008A35B1">
              <w:rPr>
                <w:rFonts w:eastAsia="Times New Roman"/>
                <w:color w:val="231F20"/>
                <w:sz w:val="19"/>
                <w:szCs w:val="19"/>
              </w:rPr>
              <w:t>≤ θ</w:t>
            </w:r>
            <w:r w:rsidRPr="008A35B1">
              <w:rPr>
                <w:rFonts w:eastAsia="Times New Roman"/>
                <w:color w:val="231F20"/>
                <w:spacing w:val="-8"/>
                <w:sz w:val="19"/>
                <w:szCs w:val="19"/>
              </w:rPr>
              <w:t xml:space="preserve"> </w:t>
            </w:r>
            <w:r w:rsidRPr="008A35B1">
              <w:rPr>
                <w:rFonts w:eastAsia="Times New Roman"/>
                <w:color w:val="231F20"/>
                <w:sz w:val="19"/>
                <w:szCs w:val="19"/>
              </w:rPr>
              <w:t>&lt;</w:t>
            </w:r>
            <w:r w:rsidRPr="008A35B1">
              <w:rPr>
                <w:rFonts w:eastAsia="Times New Roman"/>
                <w:color w:val="231F20"/>
                <w:spacing w:val="3"/>
                <w:sz w:val="19"/>
                <w:szCs w:val="19"/>
              </w:rPr>
              <w:t xml:space="preserve"> </w:t>
            </w:r>
            <w:r w:rsidRPr="008A35B1">
              <w:rPr>
                <w:rFonts w:eastAsia="Times New Roman"/>
                <w:color w:val="231F20"/>
                <w:spacing w:val="-2"/>
                <w:sz w:val="19"/>
                <w:szCs w:val="19"/>
              </w:rPr>
              <w:t>60</w:t>
            </w:r>
            <w:r w:rsidRPr="008A35B1">
              <w:rPr>
                <w:rFonts w:ascii="Symbol" w:eastAsia="Symbol" w:hAnsi="Symbol" w:cs="Symbol"/>
                <w:color w:val="231F20"/>
                <w:spacing w:val="-2"/>
                <w:sz w:val="19"/>
                <w:szCs w:val="19"/>
              </w:rPr>
              <w:t></w:t>
            </w:r>
          </w:p>
        </w:tc>
        <w:tc>
          <w:tcPr>
            <w:tcW w:w="0" w:type="auto"/>
            <w:vAlign w:val="center"/>
          </w:tcPr>
          <w:p w14:paraId="422810B5" w14:textId="77777777" w:rsidR="00B636A7" w:rsidRPr="008A35B1" w:rsidRDefault="00B636A7">
            <w:pPr>
              <w:widowControl w:val="0"/>
              <w:rPr>
                <w:rFonts w:eastAsia="Times New Roman"/>
                <w:sz w:val="19"/>
                <w:szCs w:val="19"/>
              </w:rPr>
            </w:pPr>
            <w:r w:rsidRPr="008A35B1">
              <w:rPr>
                <w:rFonts w:eastAsia="Times New Roman"/>
                <w:color w:val="231F20"/>
                <w:position w:val="1"/>
                <w:sz w:val="19"/>
                <w:szCs w:val="19"/>
              </w:rPr>
              <w:t>15</w:t>
            </w:r>
          </w:p>
        </w:tc>
      </w:tr>
      <w:tr w:rsidR="00B636A7" w:rsidRPr="008A35B1" w14:paraId="2A428D90" w14:textId="77777777">
        <w:trPr>
          <w:jc w:val="center"/>
        </w:trPr>
        <w:tc>
          <w:tcPr>
            <w:tcW w:w="3599" w:type="dxa"/>
            <w:vAlign w:val="center"/>
          </w:tcPr>
          <w:p w14:paraId="5B3A3108" w14:textId="77777777" w:rsidR="00B636A7" w:rsidRPr="008A35B1" w:rsidRDefault="00B636A7">
            <w:pPr>
              <w:widowControl w:val="0"/>
              <w:rPr>
                <w:rFonts w:eastAsia="Times New Roman"/>
                <w:color w:val="231F20"/>
                <w:position w:val="1"/>
                <w:sz w:val="19"/>
                <w:szCs w:val="19"/>
              </w:rPr>
            </w:pPr>
            <w:r w:rsidRPr="008A35B1">
              <w:rPr>
                <w:rFonts w:eastAsia="Times New Roman"/>
                <w:color w:val="231F20"/>
                <w:sz w:val="19"/>
                <w:szCs w:val="19"/>
              </w:rPr>
              <w:t>60</w:t>
            </w:r>
            <w:r w:rsidRPr="008A35B1">
              <w:rPr>
                <w:rFonts w:ascii="Symbol" w:eastAsia="Symbol" w:hAnsi="Symbol" w:cs="Symbol"/>
                <w:color w:val="231F20"/>
                <w:sz w:val="19"/>
                <w:szCs w:val="19"/>
              </w:rPr>
              <w:t></w:t>
            </w:r>
            <w:r w:rsidRPr="008A35B1">
              <w:rPr>
                <w:rFonts w:eastAsia="Times New Roman"/>
                <w:color w:val="231F20"/>
                <w:sz w:val="19"/>
                <w:szCs w:val="19"/>
              </w:rPr>
              <w:t>≤ θ</w:t>
            </w:r>
            <w:r w:rsidRPr="008A35B1">
              <w:rPr>
                <w:rFonts w:eastAsia="Times New Roman"/>
                <w:color w:val="231F20"/>
                <w:spacing w:val="-4"/>
                <w:sz w:val="19"/>
                <w:szCs w:val="19"/>
              </w:rPr>
              <w:t xml:space="preserve"> </w:t>
            </w:r>
            <w:r w:rsidRPr="008A35B1">
              <w:rPr>
                <w:rFonts w:eastAsia="Times New Roman"/>
                <w:color w:val="231F20"/>
                <w:sz w:val="19"/>
                <w:szCs w:val="19"/>
              </w:rPr>
              <w:t>≤</w:t>
            </w:r>
            <w:r w:rsidRPr="008A35B1">
              <w:rPr>
                <w:rFonts w:eastAsia="Times New Roman"/>
                <w:color w:val="231F20"/>
                <w:spacing w:val="-3"/>
                <w:sz w:val="19"/>
                <w:szCs w:val="19"/>
              </w:rPr>
              <w:t xml:space="preserve"> </w:t>
            </w:r>
            <w:r w:rsidRPr="008A35B1">
              <w:rPr>
                <w:rFonts w:eastAsia="Times New Roman"/>
                <w:color w:val="231F20"/>
                <w:sz w:val="19"/>
                <w:szCs w:val="19"/>
              </w:rPr>
              <w:t>90</w:t>
            </w:r>
            <w:r w:rsidRPr="008A35B1">
              <w:rPr>
                <w:rFonts w:ascii="Symbol" w:eastAsia="Symbol" w:hAnsi="Symbol" w:cs="Symbol"/>
                <w:color w:val="231F20"/>
                <w:sz w:val="19"/>
                <w:szCs w:val="19"/>
              </w:rPr>
              <w:t></w:t>
            </w:r>
          </w:p>
        </w:tc>
        <w:tc>
          <w:tcPr>
            <w:tcW w:w="0" w:type="auto"/>
            <w:vAlign w:val="center"/>
          </w:tcPr>
          <w:p w14:paraId="6277D566" w14:textId="77777777" w:rsidR="00B636A7" w:rsidRPr="008A35B1" w:rsidRDefault="00B636A7">
            <w:pPr>
              <w:widowControl w:val="0"/>
              <w:rPr>
                <w:rFonts w:eastAsia="Times New Roman"/>
                <w:sz w:val="19"/>
                <w:szCs w:val="19"/>
              </w:rPr>
            </w:pPr>
            <w:r w:rsidRPr="008A35B1">
              <w:rPr>
                <w:rFonts w:eastAsia="Times New Roman"/>
                <w:color w:val="231F20"/>
                <w:position w:val="1"/>
                <w:sz w:val="19"/>
                <w:szCs w:val="19"/>
              </w:rPr>
              <w:t>15</w:t>
            </w:r>
          </w:p>
        </w:tc>
      </w:tr>
    </w:tbl>
    <w:p w14:paraId="563D892E" w14:textId="77777777" w:rsidR="00B636A7" w:rsidRPr="008A35B1" w:rsidRDefault="00B636A7" w:rsidP="00B636A7">
      <w:pPr>
        <w:widowControl w:val="0"/>
        <w:spacing w:before="70" w:after="0" w:line="240" w:lineRule="auto"/>
        <w:ind w:left="610" w:right="610"/>
        <w:rPr>
          <w:rFonts w:eastAsia="Aptos" w:hAnsi="Aptos"/>
          <w:color w:val="231F20"/>
          <w:spacing w:val="-1"/>
          <w:sz w:val="19"/>
          <w:szCs w:val="22"/>
        </w:rPr>
      </w:pPr>
    </w:p>
    <w:p w14:paraId="11C48893" w14:textId="77777777" w:rsidR="00B636A7" w:rsidRPr="008A35B1" w:rsidRDefault="00B636A7" w:rsidP="00B636A7">
      <w:pPr>
        <w:widowControl w:val="0"/>
        <w:spacing w:before="70" w:after="0" w:line="240" w:lineRule="auto"/>
        <w:ind w:left="610" w:right="610"/>
        <w:rPr>
          <w:rFonts w:eastAsia="Times New Roman"/>
          <w:sz w:val="19"/>
          <w:szCs w:val="19"/>
        </w:rPr>
      </w:pPr>
      <w:r w:rsidRPr="008A35B1">
        <w:rPr>
          <w:rFonts w:eastAsia="Aptos" w:hAnsi="Aptos"/>
          <w:color w:val="231F20"/>
          <w:spacing w:val="-1"/>
          <w:sz w:val="19"/>
          <w:szCs w:val="22"/>
        </w:rPr>
        <w:t>NOTE</w:t>
      </w:r>
      <w:r w:rsidRPr="008A35B1">
        <w:rPr>
          <w:rFonts w:eastAsia="Aptos" w:hAnsi="Aptos"/>
          <w:color w:val="231F20"/>
          <w:spacing w:val="21"/>
          <w:sz w:val="19"/>
          <w:szCs w:val="22"/>
        </w:rPr>
        <w:t xml:space="preserve"> </w:t>
      </w:r>
      <w:r w:rsidRPr="008A35B1">
        <w:rPr>
          <w:rFonts w:eastAsia="Aptos" w:hAnsi="Aptos"/>
          <w:color w:val="231F20"/>
          <w:sz w:val="19"/>
          <w:szCs w:val="22"/>
        </w:rPr>
        <w:t>1:</w:t>
      </w:r>
      <w:r w:rsidRPr="008A35B1">
        <w:rPr>
          <w:rFonts w:eastAsia="Aptos" w:hAnsi="Aptos"/>
          <w:color w:val="231F20"/>
          <w:spacing w:val="21"/>
          <w:sz w:val="19"/>
          <w:szCs w:val="22"/>
        </w:rPr>
        <w:t xml:space="preserve"> </w:t>
      </w:r>
      <w:r w:rsidRPr="008A35B1">
        <w:rPr>
          <w:rFonts w:eastAsia="Aptos" w:hAnsi="Aptos"/>
          <w:color w:val="231F20"/>
          <w:spacing w:val="-2"/>
          <w:sz w:val="19"/>
          <w:szCs w:val="22"/>
        </w:rPr>
        <w:t>The</w:t>
      </w:r>
      <w:r w:rsidRPr="008A35B1">
        <w:rPr>
          <w:rFonts w:eastAsia="Aptos" w:hAnsi="Aptos"/>
          <w:color w:val="231F20"/>
          <w:spacing w:val="22"/>
          <w:sz w:val="19"/>
          <w:szCs w:val="22"/>
        </w:rPr>
        <w:t xml:space="preserve"> </w:t>
      </w:r>
      <w:r w:rsidRPr="008A35B1">
        <w:rPr>
          <w:rFonts w:eastAsia="Aptos" w:hAnsi="Aptos"/>
          <w:color w:val="231F20"/>
          <w:spacing w:val="-1"/>
          <w:sz w:val="19"/>
          <w:szCs w:val="22"/>
        </w:rPr>
        <w:t>expected</w:t>
      </w:r>
      <w:r w:rsidRPr="008A35B1">
        <w:rPr>
          <w:rFonts w:eastAsia="Aptos" w:hAnsi="Aptos"/>
          <w:color w:val="231F20"/>
          <w:spacing w:val="20"/>
          <w:sz w:val="19"/>
          <w:szCs w:val="22"/>
        </w:rPr>
        <w:t xml:space="preserve"> </w:t>
      </w:r>
      <w:proofErr w:type="spellStart"/>
      <w:r w:rsidRPr="008A35B1">
        <w:rPr>
          <w:rFonts w:eastAsia="Aptos" w:hAnsi="Aptos"/>
          <w:color w:val="231F20"/>
          <w:spacing w:val="-1"/>
          <w:sz w:val="19"/>
          <w:szCs w:val="22"/>
        </w:rPr>
        <w:t>e.i.r.p</w:t>
      </w:r>
      <w:proofErr w:type="spellEnd"/>
      <w:r w:rsidRPr="008A35B1">
        <w:rPr>
          <w:rFonts w:eastAsia="Aptos" w:hAnsi="Aptos"/>
          <w:color w:val="231F20"/>
          <w:spacing w:val="-1"/>
          <w:sz w:val="19"/>
          <w:szCs w:val="22"/>
        </w:rPr>
        <w:t>.</w:t>
      </w:r>
      <w:r w:rsidRPr="008A35B1">
        <w:rPr>
          <w:rFonts w:eastAsia="Aptos" w:hAnsi="Aptos"/>
          <w:color w:val="231F20"/>
          <w:spacing w:val="23"/>
          <w:sz w:val="19"/>
          <w:szCs w:val="22"/>
        </w:rPr>
        <w:t xml:space="preserve"> </w:t>
      </w:r>
      <w:r w:rsidRPr="008A35B1">
        <w:rPr>
          <w:rFonts w:eastAsia="Aptos" w:hAnsi="Aptos"/>
          <w:color w:val="231F20"/>
          <w:sz w:val="19"/>
          <w:szCs w:val="22"/>
        </w:rPr>
        <w:t>is</w:t>
      </w:r>
      <w:r w:rsidRPr="008A35B1">
        <w:rPr>
          <w:rFonts w:eastAsia="Aptos" w:hAnsi="Aptos"/>
          <w:color w:val="231F20"/>
          <w:spacing w:val="19"/>
          <w:sz w:val="19"/>
          <w:szCs w:val="22"/>
        </w:rPr>
        <w:t xml:space="preserve"> </w:t>
      </w:r>
      <w:r w:rsidRPr="008A35B1">
        <w:rPr>
          <w:rFonts w:eastAsia="Aptos" w:hAnsi="Aptos"/>
          <w:color w:val="231F20"/>
          <w:spacing w:val="-1"/>
          <w:sz w:val="19"/>
          <w:szCs w:val="22"/>
        </w:rPr>
        <w:t>defined</w:t>
      </w:r>
      <w:r w:rsidRPr="008A35B1">
        <w:rPr>
          <w:rFonts w:eastAsia="Aptos" w:hAnsi="Aptos"/>
          <w:color w:val="231F20"/>
          <w:spacing w:val="20"/>
          <w:sz w:val="19"/>
          <w:szCs w:val="22"/>
        </w:rPr>
        <w:t xml:space="preserve"> </w:t>
      </w:r>
      <w:r w:rsidRPr="008A35B1">
        <w:rPr>
          <w:rFonts w:eastAsia="Aptos" w:hAnsi="Aptos"/>
          <w:color w:val="231F20"/>
          <w:sz w:val="19"/>
          <w:szCs w:val="22"/>
        </w:rPr>
        <w:t>as</w:t>
      </w:r>
      <w:r w:rsidRPr="008A35B1">
        <w:rPr>
          <w:rFonts w:eastAsia="Aptos" w:hAnsi="Aptos"/>
          <w:color w:val="231F20"/>
          <w:spacing w:val="20"/>
          <w:sz w:val="19"/>
          <w:szCs w:val="22"/>
        </w:rPr>
        <w:t xml:space="preserve"> </w:t>
      </w:r>
      <w:r w:rsidRPr="008A35B1">
        <w:rPr>
          <w:rFonts w:eastAsia="Aptos" w:hAnsi="Aptos"/>
          <w:color w:val="231F20"/>
          <w:sz w:val="19"/>
          <w:szCs w:val="22"/>
        </w:rPr>
        <w:t>the</w:t>
      </w:r>
      <w:r w:rsidRPr="008A35B1">
        <w:rPr>
          <w:rFonts w:eastAsia="Aptos" w:hAnsi="Aptos"/>
          <w:color w:val="231F20"/>
          <w:spacing w:val="21"/>
          <w:sz w:val="19"/>
          <w:szCs w:val="22"/>
        </w:rPr>
        <w:t xml:space="preserve"> </w:t>
      </w:r>
      <w:r w:rsidRPr="008A35B1">
        <w:rPr>
          <w:rFonts w:eastAsia="Aptos" w:hAnsi="Aptos"/>
          <w:color w:val="231F20"/>
          <w:spacing w:val="-1"/>
          <w:sz w:val="19"/>
          <w:szCs w:val="22"/>
        </w:rPr>
        <w:t>average</w:t>
      </w:r>
      <w:r w:rsidRPr="008A35B1">
        <w:rPr>
          <w:rFonts w:eastAsia="Aptos" w:hAnsi="Aptos"/>
          <w:color w:val="231F20"/>
          <w:spacing w:val="22"/>
          <w:sz w:val="19"/>
          <w:szCs w:val="22"/>
        </w:rPr>
        <w:t xml:space="preserve"> </w:t>
      </w:r>
      <w:r w:rsidRPr="008A35B1">
        <w:rPr>
          <w:rFonts w:eastAsia="Aptos" w:hAnsi="Aptos"/>
          <w:color w:val="231F20"/>
          <w:spacing w:val="-2"/>
          <w:sz w:val="19"/>
          <w:szCs w:val="22"/>
        </w:rPr>
        <w:t>value</w:t>
      </w:r>
      <w:r w:rsidRPr="008A35B1">
        <w:rPr>
          <w:rFonts w:eastAsia="Aptos" w:hAnsi="Aptos"/>
          <w:color w:val="231F20"/>
          <w:spacing w:val="26"/>
          <w:sz w:val="19"/>
          <w:szCs w:val="22"/>
        </w:rPr>
        <w:t xml:space="preserve"> </w:t>
      </w:r>
      <w:r w:rsidRPr="008A35B1">
        <w:rPr>
          <w:rFonts w:eastAsia="Aptos" w:hAnsi="Aptos"/>
          <w:color w:val="231F20"/>
          <w:spacing w:val="-1"/>
          <w:sz w:val="19"/>
          <w:szCs w:val="22"/>
        </w:rPr>
        <w:t>of</w:t>
      </w:r>
      <w:r w:rsidRPr="008A35B1">
        <w:rPr>
          <w:rFonts w:eastAsia="Aptos" w:hAnsi="Aptos"/>
          <w:color w:val="231F20"/>
          <w:spacing w:val="20"/>
          <w:sz w:val="19"/>
          <w:szCs w:val="22"/>
        </w:rPr>
        <w:t xml:space="preserve"> </w:t>
      </w:r>
      <w:r w:rsidRPr="008A35B1">
        <w:rPr>
          <w:rFonts w:eastAsia="Aptos" w:hAnsi="Aptos"/>
          <w:color w:val="231F20"/>
          <w:spacing w:val="-1"/>
          <w:sz w:val="19"/>
          <w:szCs w:val="22"/>
        </w:rPr>
        <w:t>the</w:t>
      </w:r>
      <w:r w:rsidRPr="008A35B1">
        <w:rPr>
          <w:rFonts w:eastAsia="Aptos" w:hAnsi="Aptos"/>
          <w:color w:val="231F20"/>
          <w:spacing w:val="22"/>
          <w:sz w:val="19"/>
          <w:szCs w:val="22"/>
        </w:rPr>
        <w:t xml:space="preserve"> </w:t>
      </w:r>
      <w:proofErr w:type="spellStart"/>
      <w:r w:rsidRPr="008A35B1">
        <w:rPr>
          <w:rFonts w:eastAsia="Aptos" w:hAnsi="Aptos"/>
          <w:color w:val="231F20"/>
          <w:spacing w:val="-1"/>
          <w:sz w:val="19"/>
          <w:szCs w:val="22"/>
        </w:rPr>
        <w:t>e.i.r.p</w:t>
      </w:r>
      <w:proofErr w:type="spellEnd"/>
      <w:r w:rsidRPr="008A35B1">
        <w:rPr>
          <w:rFonts w:eastAsia="Aptos" w:hAnsi="Aptos"/>
          <w:color w:val="231F20"/>
          <w:spacing w:val="-1"/>
          <w:sz w:val="19"/>
          <w:szCs w:val="22"/>
        </w:rPr>
        <w:t>.,</w:t>
      </w:r>
      <w:r w:rsidRPr="008A35B1">
        <w:rPr>
          <w:rFonts w:eastAsia="Aptos" w:hAnsi="Aptos"/>
          <w:color w:val="231F20"/>
          <w:spacing w:val="26"/>
          <w:sz w:val="19"/>
          <w:szCs w:val="22"/>
        </w:rPr>
        <w:t xml:space="preserve"> </w:t>
      </w:r>
      <w:r w:rsidRPr="008A35B1">
        <w:rPr>
          <w:rFonts w:eastAsia="Aptos" w:hAnsi="Aptos"/>
          <w:color w:val="231F20"/>
          <w:spacing w:val="-2"/>
          <w:sz w:val="19"/>
          <w:szCs w:val="22"/>
        </w:rPr>
        <w:t>with</w:t>
      </w:r>
      <w:r w:rsidRPr="008A35B1">
        <w:rPr>
          <w:rFonts w:eastAsia="Aptos" w:hAnsi="Aptos"/>
          <w:color w:val="231F20"/>
          <w:spacing w:val="20"/>
          <w:sz w:val="19"/>
          <w:szCs w:val="22"/>
        </w:rPr>
        <w:t xml:space="preserve"> </w:t>
      </w:r>
      <w:r w:rsidRPr="008A35B1">
        <w:rPr>
          <w:rFonts w:eastAsia="Aptos" w:hAnsi="Aptos"/>
          <w:color w:val="231F20"/>
          <w:spacing w:val="-2"/>
          <w:sz w:val="19"/>
          <w:szCs w:val="22"/>
        </w:rPr>
        <w:t>the</w:t>
      </w:r>
      <w:r w:rsidRPr="008A35B1">
        <w:rPr>
          <w:rFonts w:eastAsia="Aptos" w:hAnsi="Aptos"/>
          <w:color w:val="231F20"/>
          <w:spacing w:val="22"/>
          <w:sz w:val="19"/>
          <w:szCs w:val="22"/>
        </w:rPr>
        <w:t xml:space="preserve"> </w:t>
      </w:r>
      <w:r w:rsidRPr="008A35B1">
        <w:rPr>
          <w:rFonts w:eastAsia="Aptos" w:hAnsi="Aptos"/>
          <w:color w:val="231F20"/>
          <w:spacing w:val="-1"/>
          <w:sz w:val="19"/>
          <w:szCs w:val="22"/>
        </w:rPr>
        <w:t>averaging</w:t>
      </w:r>
      <w:r w:rsidRPr="008A35B1">
        <w:rPr>
          <w:rFonts w:eastAsia="Aptos" w:hAnsi="Aptos"/>
          <w:color w:val="231F20"/>
          <w:spacing w:val="20"/>
          <w:sz w:val="19"/>
          <w:szCs w:val="22"/>
        </w:rPr>
        <w:t xml:space="preserve"> </w:t>
      </w:r>
      <w:r w:rsidRPr="008A35B1">
        <w:rPr>
          <w:rFonts w:eastAsia="Aptos" w:hAnsi="Aptos"/>
          <w:color w:val="231F20"/>
          <w:spacing w:val="-1"/>
          <w:sz w:val="19"/>
          <w:szCs w:val="22"/>
        </w:rPr>
        <w:t>being</w:t>
      </w:r>
      <w:r w:rsidRPr="008A35B1">
        <w:rPr>
          <w:rFonts w:eastAsia="Aptos" w:hAnsi="Aptos"/>
          <w:color w:val="231F20"/>
          <w:spacing w:val="55"/>
          <w:w w:val="99"/>
          <w:sz w:val="19"/>
          <w:szCs w:val="22"/>
        </w:rPr>
        <w:t xml:space="preserve"> </w:t>
      </w:r>
      <w:r w:rsidRPr="008A35B1">
        <w:rPr>
          <w:rFonts w:eastAsia="Aptos" w:hAnsi="Aptos"/>
          <w:color w:val="231F20"/>
          <w:spacing w:val="-1"/>
          <w:sz w:val="19"/>
          <w:szCs w:val="22"/>
        </w:rPr>
        <w:t>performed:</w:t>
      </w:r>
    </w:p>
    <w:p w14:paraId="3BB8213B" w14:textId="77777777" w:rsidR="00B636A7" w:rsidRPr="008A35B1" w:rsidRDefault="00B636A7" w:rsidP="00B636A7">
      <w:pPr>
        <w:widowControl w:val="0"/>
        <w:numPr>
          <w:ilvl w:val="0"/>
          <w:numId w:val="23"/>
        </w:numPr>
        <w:tabs>
          <w:tab w:val="left" w:pos="878"/>
        </w:tabs>
        <w:spacing w:before="93" w:after="0" w:line="216" w:lineRule="exact"/>
        <w:ind w:right="610"/>
        <w:rPr>
          <w:rFonts w:eastAsia="Times New Roman"/>
          <w:sz w:val="19"/>
          <w:szCs w:val="19"/>
        </w:rPr>
      </w:pPr>
      <w:r w:rsidRPr="008A35B1">
        <w:rPr>
          <w:rFonts w:eastAsia="Times New Roman"/>
          <w:color w:val="231F20"/>
          <w:sz w:val="19"/>
          <w:szCs w:val="19"/>
        </w:rPr>
        <w:t>over</w:t>
      </w:r>
      <w:r w:rsidRPr="008A35B1">
        <w:rPr>
          <w:rFonts w:eastAsia="Times New Roman"/>
          <w:color w:val="231F20"/>
          <w:spacing w:val="24"/>
          <w:sz w:val="19"/>
          <w:szCs w:val="19"/>
        </w:rPr>
        <w:t xml:space="preserve"> </w:t>
      </w:r>
      <w:r w:rsidRPr="008A35B1">
        <w:rPr>
          <w:rFonts w:eastAsia="Times New Roman"/>
          <w:color w:val="231F20"/>
          <w:spacing w:val="-1"/>
          <w:sz w:val="19"/>
          <w:szCs w:val="19"/>
        </w:rPr>
        <w:t>horizontal</w:t>
      </w:r>
      <w:r w:rsidRPr="008A35B1">
        <w:rPr>
          <w:rFonts w:eastAsia="Times New Roman"/>
          <w:color w:val="231F20"/>
          <w:spacing w:val="26"/>
          <w:sz w:val="19"/>
          <w:szCs w:val="19"/>
        </w:rPr>
        <w:t xml:space="preserve"> </w:t>
      </w:r>
      <w:r w:rsidRPr="008A35B1">
        <w:rPr>
          <w:rFonts w:eastAsia="Times New Roman"/>
          <w:color w:val="231F20"/>
          <w:spacing w:val="-1"/>
          <w:sz w:val="19"/>
          <w:szCs w:val="19"/>
        </w:rPr>
        <w:t>angles</w:t>
      </w:r>
      <w:r w:rsidRPr="008A35B1">
        <w:rPr>
          <w:rFonts w:eastAsia="Times New Roman"/>
          <w:color w:val="231F20"/>
          <w:spacing w:val="23"/>
          <w:sz w:val="19"/>
          <w:szCs w:val="19"/>
        </w:rPr>
        <w:t xml:space="preserve"> </w:t>
      </w:r>
      <w:r w:rsidRPr="008A35B1">
        <w:rPr>
          <w:rFonts w:eastAsia="Times New Roman"/>
          <w:color w:val="231F20"/>
          <w:spacing w:val="-2"/>
          <w:sz w:val="19"/>
          <w:szCs w:val="19"/>
        </w:rPr>
        <w:t>from</w:t>
      </w:r>
      <w:r w:rsidRPr="008A35B1">
        <w:rPr>
          <w:rFonts w:eastAsia="Times New Roman"/>
          <w:color w:val="231F20"/>
          <w:spacing w:val="26"/>
          <w:sz w:val="19"/>
          <w:szCs w:val="19"/>
        </w:rPr>
        <w:t xml:space="preserve"> </w:t>
      </w:r>
      <w:r w:rsidRPr="008A35B1">
        <w:rPr>
          <w:rFonts w:eastAsia="Times New Roman"/>
          <w:color w:val="231F20"/>
          <w:spacing w:val="-1"/>
          <w:sz w:val="19"/>
          <w:szCs w:val="19"/>
        </w:rPr>
        <w:t>−180</w:t>
      </w:r>
      <w:r w:rsidRPr="008A35B1">
        <w:rPr>
          <w:rFonts w:ascii="Symbol" w:eastAsia="Symbol" w:hAnsi="Symbol" w:cs="Symbol"/>
          <w:color w:val="231F20"/>
          <w:spacing w:val="-1"/>
          <w:sz w:val="19"/>
          <w:szCs w:val="19"/>
        </w:rPr>
        <w:t></w:t>
      </w:r>
      <w:r w:rsidRPr="008A35B1">
        <w:rPr>
          <w:rFonts w:ascii="Symbol" w:eastAsia="Symbol" w:hAnsi="Symbol" w:cs="Symbol"/>
          <w:color w:val="231F20"/>
          <w:spacing w:val="25"/>
          <w:sz w:val="19"/>
          <w:szCs w:val="19"/>
        </w:rPr>
        <w:t></w:t>
      </w:r>
      <w:r w:rsidRPr="008A35B1">
        <w:rPr>
          <w:rFonts w:eastAsia="Times New Roman"/>
          <w:color w:val="231F20"/>
          <w:sz w:val="19"/>
          <w:szCs w:val="19"/>
        </w:rPr>
        <w:t>to</w:t>
      </w:r>
      <w:r w:rsidRPr="008A35B1">
        <w:rPr>
          <w:rFonts w:eastAsia="Times New Roman"/>
          <w:color w:val="231F20"/>
          <w:spacing w:val="20"/>
          <w:sz w:val="19"/>
          <w:szCs w:val="19"/>
        </w:rPr>
        <w:t xml:space="preserve"> </w:t>
      </w:r>
      <w:r w:rsidRPr="008A35B1">
        <w:rPr>
          <w:rFonts w:eastAsia="Times New Roman"/>
          <w:color w:val="231F20"/>
          <w:spacing w:val="-1"/>
          <w:sz w:val="19"/>
          <w:szCs w:val="19"/>
        </w:rPr>
        <w:t>+180</w:t>
      </w:r>
      <w:r w:rsidRPr="008A35B1">
        <w:rPr>
          <w:rFonts w:ascii="Symbol" w:eastAsia="Symbol" w:hAnsi="Symbol" w:cs="Symbol"/>
          <w:color w:val="231F20"/>
          <w:spacing w:val="-1"/>
          <w:sz w:val="19"/>
          <w:szCs w:val="19"/>
        </w:rPr>
        <w:t></w:t>
      </w:r>
      <w:r w:rsidRPr="008A35B1">
        <w:rPr>
          <w:rFonts w:eastAsia="Times New Roman"/>
          <w:color w:val="231F20"/>
          <w:spacing w:val="-1"/>
          <w:sz w:val="19"/>
          <w:szCs w:val="19"/>
        </w:rPr>
        <w:t>,</w:t>
      </w:r>
      <w:r w:rsidRPr="008A35B1">
        <w:rPr>
          <w:rFonts w:eastAsia="Times New Roman"/>
          <w:color w:val="231F20"/>
          <w:spacing w:val="26"/>
          <w:sz w:val="19"/>
          <w:szCs w:val="19"/>
        </w:rPr>
        <w:t xml:space="preserve"> </w:t>
      </w:r>
      <w:r w:rsidRPr="008A35B1">
        <w:rPr>
          <w:rFonts w:eastAsia="Times New Roman"/>
          <w:color w:val="231F20"/>
          <w:spacing w:val="-2"/>
          <w:sz w:val="19"/>
          <w:szCs w:val="19"/>
        </w:rPr>
        <w:t>with</w:t>
      </w:r>
      <w:r w:rsidRPr="008A35B1">
        <w:rPr>
          <w:rFonts w:eastAsia="Times New Roman"/>
          <w:color w:val="231F20"/>
          <w:spacing w:val="24"/>
          <w:sz w:val="19"/>
          <w:szCs w:val="19"/>
        </w:rPr>
        <w:t xml:space="preserve"> </w:t>
      </w:r>
      <w:r w:rsidRPr="008A35B1">
        <w:rPr>
          <w:rFonts w:eastAsia="Times New Roman"/>
          <w:color w:val="231F20"/>
          <w:spacing w:val="-1"/>
          <w:sz w:val="19"/>
          <w:szCs w:val="19"/>
        </w:rPr>
        <w:t>the</w:t>
      </w:r>
      <w:r w:rsidRPr="008A35B1">
        <w:rPr>
          <w:rFonts w:eastAsia="Times New Roman"/>
          <w:color w:val="231F20"/>
          <w:spacing w:val="26"/>
          <w:sz w:val="19"/>
          <w:szCs w:val="19"/>
        </w:rPr>
        <w:t xml:space="preserve"> </w:t>
      </w:r>
      <w:r w:rsidRPr="008A35B1">
        <w:rPr>
          <w:rFonts w:eastAsia="Times New Roman"/>
          <w:color w:val="231F20"/>
          <w:spacing w:val="-3"/>
          <w:sz w:val="19"/>
          <w:szCs w:val="19"/>
        </w:rPr>
        <w:t>IMT</w:t>
      </w:r>
      <w:r w:rsidRPr="008A35B1">
        <w:rPr>
          <w:rFonts w:eastAsia="Times New Roman"/>
          <w:color w:val="231F20"/>
          <w:spacing w:val="26"/>
          <w:sz w:val="19"/>
          <w:szCs w:val="19"/>
        </w:rPr>
        <w:t xml:space="preserve"> </w:t>
      </w:r>
      <w:r w:rsidRPr="008A35B1">
        <w:rPr>
          <w:rFonts w:eastAsia="Times New Roman"/>
          <w:color w:val="231F20"/>
          <w:spacing w:val="-1"/>
          <w:sz w:val="19"/>
          <w:szCs w:val="19"/>
        </w:rPr>
        <w:t>base</w:t>
      </w:r>
      <w:r w:rsidRPr="008A35B1">
        <w:rPr>
          <w:rFonts w:eastAsia="Times New Roman"/>
          <w:color w:val="231F20"/>
          <w:spacing w:val="26"/>
          <w:sz w:val="19"/>
          <w:szCs w:val="19"/>
        </w:rPr>
        <w:t xml:space="preserve"> </w:t>
      </w:r>
      <w:r w:rsidRPr="008A35B1">
        <w:rPr>
          <w:rFonts w:eastAsia="Times New Roman"/>
          <w:color w:val="231F20"/>
          <w:spacing w:val="-1"/>
          <w:sz w:val="19"/>
          <w:szCs w:val="19"/>
        </w:rPr>
        <w:t>station</w:t>
      </w:r>
      <w:r w:rsidRPr="008A35B1">
        <w:rPr>
          <w:rFonts w:eastAsia="Times New Roman"/>
          <w:color w:val="231F20"/>
          <w:spacing w:val="24"/>
          <w:sz w:val="19"/>
          <w:szCs w:val="19"/>
        </w:rPr>
        <w:t xml:space="preserve"> </w:t>
      </w:r>
      <w:r w:rsidRPr="008A35B1">
        <w:rPr>
          <w:rFonts w:eastAsia="Times New Roman"/>
          <w:color w:val="231F20"/>
          <w:spacing w:val="-2"/>
          <w:sz w:val="19"/>
          <w:szCs w:val="19"/>
        </w:rPr>
        <w:t>beamforming</w:t>
      </w:r>
      <w:r w:rsidRPr="008A35B1">
        <w:rPr>
          <w:rFonts w:eastAsia="Times New Roman"/>
          <w:color w:val="231F20"/>
          <w:spacing w:val="24"/>
          <w:sz w:val="19"/>
          <w:szCs w:val="19"/>
        </w:rPr>
        <w:t xml:space="preserve"> </w:t>
      </w:r>
      <w:r w:rsidRPr="008A35B1">
        <w:rPr>
          <w:rFonts w:eastAsia="Times New Roman"/>
          <w:color w:val="231F20"/>
          <w:sz w:val="19"/>
          <w:szCs w:val="19"/>
        </w:rPr>
        <w:t>in</w:t>
      </w:r>
      <w:r w:rsidRPr="008A35B1">
        <w:rPr>
          <w:rFonts w:eastAsia="Times New Roman"/>
          <w:color w:val="231F20"/>
          <w:spacing w:val="20"/>
          <w:sz w:val="19"/>
          <w:szCs w:val="19"/>
        </w:rPr>
        <w:t xml:space="preserve"> </w:t>
      </w:r>
      <w:r w:rsidRPr="008A35B1">
        <w:rPr>
          <w:rFonts w:eastAsia="Times New Roman"/>
          <w:color w:val="231F20"/>
          <w:sz w:val="19"/>
          <w:szCs w:val="19"/>
        </w:rPr>
        <w:t>a</w:t>
      </w:r>
      <w:r w:rsidRPr="008A35B1">
        <w:rPr>
          <w:rFonts w:eastAsia="Times New Roman"/>
          <w:color w:val="231F20"/>
          <w:spacing w:val="26"/>
          <w:sz w:val="19"/>
          <w:szCs w:val="19"/>
        </w:rPr>
        <w:t xml:space="preserve"> </w:t>
      </w:r>
      <w:r w:rsidRPr="008A35B1">
        <w:rPr>
          <w:rFonts w:eastAsia="Times New Roman"/>
          <w:color w:val="231F20"/>
          <w:spacing w:val="-1"/>
          <w:sz w:val="19"/>
          <w:szCs w:val="19"/>
        </w:rPr>
        <w:t>specific</w:t>
      </w:r>
      <w:r w:rsidRPr="008A35B1">
        <w:rPr>
          <w:rFonts w:eastAsia="Times New Roman"/>
          <w:color w:val="231F20"/>
          <w:spacing w:val="68"/>
          <w:w w:val="99"/>
          <w:sz w:val="19"/>
          <w:szCs w:val="19"/>
        </w:rPr>
        <w:t xml:space="preserve"> </w:t>
      </w:r>
      <w:r w:rsidRPr="008A35B1">
        <w:rPr>
          <w:rFonts w:eastAsia="Times New Roman"/>
          <w:color w:val="231F20"/>
          <w:spacing w:val="-1"/>
          <w:sz w:val="19"/>
          <w:szCs w:val="19"/>
        </w:rPr>
        <w:t>direction</w:t>
      </w:r>
      <w:r w:rsidRPr="008A35B1">
        <w:rPr>
          <w:rFonts w:eastAsia="Times New Roman"/>
          <w:color w:val="231F20"/>
          <w:spacing w:val="-9"/>
          <w:sz w:val="19"/>
          <w:szCs w:val="19"/>
        </w:rPr>
        <w:t xml:space="preserve"> </w:t>
      </w:r>
      <w:r w:rsidRPr="008A35B1">
        <w:rPr>
          <w:rFonts w:eastAsia="Times New Roman"/>
          <w:color w:val="231F20"/>
          <w:spacing w:val="-1"/>
          <w:sz w:val="19"/>
          <w:szCs w:val="19"/>
        </w:rPr>
        <w:t>within</w:t>
      </w:r>
      <w:r w:rsidRPr="008A35B1">
        <w:rPr>
          <w:rFonts w:eastAsia="Times New Roman"/>
          <w:color w:val="231F20"/>
          <w:spacing w:val="-10"/>
          <w:sz w:val="19"/>
          <w:szCs w:val="19"/>
        </w:rPr>
        <w:t xml:space="preserve"> </w:t>
      </w:r>
      <w:r w:rsidRPr="008A35B1">
        <w:rPr>
          <w:rFonts w:eastAsia="Times New Roman"/>
          <w:color w:val="231F20"/>
          <w:sz w:val="19"/>
          <w:szCs w:val="19"/>
        </w:rPr>
        <w:t>its</w:t>
      </w:r>
      <w:r w:rsidRPr="008A35B1">
        <w:rPr>
          <w:rFonts w:eastAsia="Times New Roman"/>
          <w:color w:val="231F20"/>
          <w:spacing w:val="-10"/>
          <w:sz w:val="19"/>
          <w:szCs w:val="19"/>
        </w:rPr>
        <w:t xml:space="preserve"> </w:t>
      </w:r>
      <w:r w:rsidRPr="008A35B1">
        <w:rPr>
          <w:rFonts w:eastAsia="Times New Roman"/>
          <w:color w:val="231F20"/>
          <w:spacing w:val="-1"/>
          <w:sz w:val="19"/>
          <w:szCs w:val="19"/>
        </w:rPr>
        <w:t>horizontal</w:t>
      </w:r>
      <w:r w:rsidRPr="008A35B1">
        <w:rPr>
          <w:rFonts w:eastAsia="Times New Roman"/>
          <w:color w:val="231F20"/>
          <w:spacing w:val="-8"/>
          <w:sz w:val="19"/>
          <w:szCs w:val="19"/>
        </w:rPr>
        <w:t xml:space="preserve"> </w:t>
      </w:r>
      <w:r w:rsidRPr="008A35B1">
        <w:rPr>
          <w:rFonts w:eastAsia="Times New Roman"/>
          <w:color w:val="231F20"/>
          <w:sz w:val="19"/>
          <w:szCs w:val="19"/>
        </w:rPr>
        <w:t>and</w:t>
      </w:r>
      <w:r w:rsidRPr="008A35B1">
        <w:rPr>
          <w:rFonts w:eastAsia="Times New Roman"/>
          <w:color w:val="231F20"/>
          <w:spacing w:val="-9"/>
          <w:sz w:val="19"/>
          <w:szCs w:val="19"/>
        </w:rPr>
        <w:t xml:space="preserve"> </w:t>
      </w:r>
      <w:r w:rsidRPr="008A35B1">
        <w:rPr>
          <w:rFonts w:eastAsia="Times New Roman"/>
          <w:color w:val="231F20"/>
          <w:spacing w:val="-1"/>
          <w:sz w:val="19"/>
          <w:szCs w:val="19"/>
        </w:rPr>
        <w:t>vertical</w:t>
      </w:r>
      <w:r w:rsidRPr="008A35B1">
        <w:rPr>
          <w:rFonts w:eastAsia="Times New Roman"/>
          <w:color w:val="231F20"/>
          <w:spacing w:val="-7"/>
          <w:sz w:val="19"/>
          <w:szCs w:val="19"/>
        </w:rPr>
        <w:t xml:space="preserve"> </w:t>
      </w:r>
      <w:r w:rsidRPr="008A35B1">
        <w:rPr>
          <w:rFonts w:eastAsia="Times New Roman"/>
          <w:color w:val="231F20"/>
          <w:spacing w:val="-1"/>
          <w:sz w:val="19"/>
          <w:szCs w:val="19"/>
        </w:rPr>
        <w:t>steering</w:t>
      </w:r>
      <w:r w:rsidRPr="008A35B1">
        <w:rPr>
          <w:rFonts w:eastAsia="Times New Roman"/>
          <w:color w:val="231F20"/>
          <w:spacing w:val="-5"/>
          <w:sz w:val="19"/>
          <w:szCs w:val="19"/>
        </w:rPr>
        <w:t xml:space="preserve"> </w:t>
      </w:r>
      <w:r w:rsidRPr="008A35B1">
        <w:rPr>
          <w:rFonts w:eastAsia="Times New Roman"/>
          <w:color w:val="231F20"/>
          <w:spacing w:val="-2"/>
          <w:sz w:val="19"/>
          <w:szCs w:val="19"/>
        </w:rPr>
        <w:t>range,</w:t>
      </w:r>
    </w:p>
    <w:p w14:paraId="21DFA642" w14:textId="77777777" w:rsidR="00B636A7" w:rsidRPr="008A35B1" w:rsidRDefault="00B636A7" w:rsidP="00B636A7">
      <w:pPr>
        <w:widowControl w:val="0"/>
        <w:numPr>
          <w:ilvl w:val="0"/>
          <w:numId w:val="23"/>
        </w:numPr>
        <w:tabs>
          <w:tab w:val="left" w:pos="878"/>
        </w:tabs>
        <w:spacing w:before="68" w:after="0" w:line="240" w:lineRule="auto"/>
        <w:ind w:right="610"/>
        <w:rPr>
          <w:rFonts w:eastAsia="Times New Roman"/>
          <w:sz w:val="19"/>
          <w:szCs w:val="19"/>
        </w:rPr>
      </w:pPr>
      <w:r w:rsidRPr="008A35B1">
        <w:rPr>
          <w:rFonts w:eastAsia="Aptos" w:hAnsi="Aptos"/>
          <w:color w:val="231F20"/>
          <w:sz w:val="19"/>
          <w:szCs w:val="22"/>
        </w:rPr>
        <w:t>over</w:t>
      </w:r>
      <w:r w:rsidRPr="008A35B1">
        <w:rPr>
          <w:rFonts w:eastAsia="Aptos" w:hAnsi="Aptos"/>
          <w:color w:val="231F20"/>
          <w:spacing w:val="-18"/>
          <w:sz w:val="19"/>
          <w:szCs w:val="22"/>
        </w:rPr>
        <w:t xml:space="preserve"> </w:t>
      </w:r>
      <w:r w:rsidRPr="008A35B1">
        <w:rPr>
          <w:rFonts w:eastAsia="Aptos" w:hAnsi="Aptos"/>
          <w:color w:val="231F20"/>
          <w:spacing w:val="-1"/>
          <w:sz w:val="19"/>
          <w:szCs w:val="22"/>
        </w:rPr>
        <w:t>different</w:t>
      </w:r>
      <w:r w:rsidRPr="008A35B1">
        <w:rPr>
          <w:rFonts w:eastAsia="Aptos" w:hAnsi="Aptos"/>
          <w:color w:val="231F20"/>
          <w:spacing w:val="-16"/>
          <w:sz w:val="19"/>
          <w:szCs w:val="22"/>
        </w:rPr>
        <w:t xml:space="preserve"> </w:t>
      </w:r>
      <w:r w:rsidRPr="008A35B1">
        <w:rPr>
          <w:rFonts w:eastAsia="Aptos" w:hAnsi="Aptos"/>
          <w:color w:val="231F20"/>
          <w:spacing w:val="-1"/>
          <w:sz w:val="19"/>
          <w:szCs w:val="22"/>
        </w:rPr>
        <w:t>beamforming</w:t>
      </w:r>
      <w:r w:rsidRPr="008A35B1">
        <w:rPr>
          <w:rFonts w:eastAsia="Aptos" w:hAnsi="Aptos"/>
          <w:color w:val="231F20"/>
          <w:spacing w:val="-13"/>
          <w:sz w:val="19"/>
          <w:szCs w:val="22"/>
        </w:rPr>
        <w:t xml:space="preserve"> </w:t>
      </w:r>
      <w:r w:rsidRPr="008A35B1">
        <w:rPr>
          <w:rFonts w:eastAsia="Aptos" w:hAnsi="Aptos"/>
          <w:color w:val="231F20"/>
          <w:spacing w:val="-1"/>
          <w:sz w:val="19"/>
          <w:szCs w:val="22"/>
        </w:rPr>
        <w:t>directions</w:t>
      </w:r>
      <w:r w:rsidRPr="008A35B1">
        <w:rPr>
          <w:rFonts w:eastAsia="Aptos" w:hAnsi="Aptos"/>
          <w:color w:val="231F20"/>
          <w:spacing w:val="-15"/>
          <w:sz w:val="19"/>
          <w:szCs w:val="22"/>
        </w:rPr>
        <w:t xml:space="preserve"> </w:t>
      </w:r>
      <w:r w:rsidRPr="008A35B1">
        <w:rPr>
          <w:rFonts w:eastAsia="Aptos" w:hAnsi="Aptos"/>
          <w:color w:val="231F20"/>
          <w:spacing w:val="-2"/>
          <w:sz w:val="19"/>
          <w:szCs w:val="22"/>
        </w:rPr>
        <w:t>within</w:t>
      </w:r>
      <w:r w:rsidRPr="008A35B1">
        <w:rPr>
          <w:rFonts w:eastAsia="Aptos" w:hAnsi="Aptos"/>
          <w:color w:val="231F20"/>
          <w:spacing w:val="-17"/>
          <w:sz w:val="19"/>
          <w:szCs w:val="22"/>
        </w:rPr>
        <w:t xml:space="preserve"> </w:t>
      </w:r>
      <w:r w:rsidRPr="008A35B1">
        <w:rPr>
          <w:rFonts w:eastAsia="Aptos" w:hAnsi="Aptos"/>
          <w:color w:val="231F20"/>
          <w:sz w:val="19"/>
          <w:szCs w:val="22"/>
        </w:rPr>
        <w:t>the</w:t>
      </w:r>
      <w:r w:rsidRPr="008A35B1">
        <w:rPr>
          <w:rFonts w:eastAsia="Aptos" w:hAnsi="Aptos"/>
          <w:color w:val="231F20"/>
          <w:spacing w:val="-16"/>
          <w:sz w:val="19"/>
          <w:szCs w:val="22"/>
        </w:rPr>
        <w:t xml:space="preserve"> </w:t>
      </w:r>
      <w:r w:rsidRPr="008A35B1">
        <w:rPr>
          <w:rFonts w:eastAsia="Aptos" w:hAnsi="Aptos"/>
          <w:color w:val="231F20"/>
          <w:spacing w:val="-3"/>
          <w:sz w:val="19"/>
          <w:szCs w:val="22"/>
        </w:rPr>
        <w:t>IMT</w:t>
      </w:r>
      <w:r w:rsidRPr="008A35B1">
        <w:rPr>
          <w:rFonts w:eastAsia="Aptos" w:hAnsi="Aptos"/>
          <w:color w:val="231F20"/>
          <w:spacing w:val="-12"/>
          <w:sz w:val="19"/>
          <w:szCs w:val="22"/>
        </w:rPr>
        <w:t xml:space="preserve"> </w:t>
      </w:r>
      <w:r w:rsidRPr="008A35B1">
        <w:rPr>
          <w:rFonts w:eastAsia="Aptos" w:hAnsi="Aptos"/>
          <w:color w:val="231F20"/>
          <w:spacing w:val="-2"/>
          <w:sz w:val="19"/>
          <w:szCs w:val="22"/>
        </w:rPr>
        <w:t>base</w:t>
      </w:r>
      <w:r w:rsidRPr="008A35B1">
        <w:rPr>
          <w:rFonts w:eastAsia="Aptos" w:hAnsi="Aptos"/>
          <w:color w:val="231F20"/>
          <w:spacing w:val="-12"/>
          <w:sz w:val="19"/>
          <w:szCs w:val="22"/>
        </w:rPr>
        <w:t xml:space="preserve"> </w:t>
      </w:r>
      <w:r w:rsidRPr="008A35B1">
        <w:rPr>
          <w:rFonts w:eastAsia="Aptos" w:hAnsi="Aptos"/>
          <w:color w:val="231F20"/>
          <w:spacing w:val="-1"/>
          <w:sz w:val="19"/>
          <w:szCs w:val="22"/>
        </w:rPr>
        <w:t>station</w:t>
      </w:r>
      <w:r w:rsidRPr="008A35B1">
        <w:rPr>
          <w:rFonts w:eastAsia="Aptos" w:hAnsi="Aptos"/>
          <w:color w:val="231F20"/>
          <w:spacing w:val="-13"/>
          <w:sz w:val="19"/>
          <w:szCs w:val="22"/>
        </w:rPr>
        <w:t xml:space="preserve"> </w:t>
      </w:r>
      <w:r w:rsidRPr="008A35B1">
        <w:rPr>
          <w:rFonts w:eastAsia="Aptos" w:hAnsi="Aptos"/>
          <w:color w:val="231F20"/>
          <w:spacing w:val="-1"/>
          <w:sz w:val="19"/>
          <w:szCs w:val="22"/>
        </w:rPr>
        <w:t>horizontal</w:t>
      </w:r>
      <w:r w:rsidRPr="008A35B1">
        <w:rPr>
          <w:rFonts w:eastAsia="Aptos" w:hAnsi="Aptos"/>
          <w:color w:val="231F20"/>
          <w:spacing w:val="-15"/>
          <w:sz w:val="19"/>
          <w:szCs w:val="22"/>
        </w:rPr>
        <w:t xml:space="preserve"> </w:t>
      </w:r>
      <w:r w:rsidRPr="008A35B1">
        <w:rPr>
          <w:rFonts w:eastAsia="Aptos" w:hAnsi="Aptos"/>
          <w:color w:val="231F20"/>
          <w:sz w:val="19"/>
          <w:szCs w:val="22"/>
        </w:rPr>
        <w:t>and</w:t>
      </w:r>
      <w:r w:rsidRPr="008A35B1">
        <w:rPr>
          <w:rFonts w:eastAsia="Aptos" w:hAnsi="Aptos"/>
          <w:color w:val="231F20"/>
          <w:spacing w:val="-18"/>
          <w:sz w:val="19"/>
          <w:szCs w:val="22"/>
        </w:rPr>
        <w:t xml:space="preserve"> </w:t>
      </w:r>
      <w:r w:rsidRPr="008A35B1">
        <w:rPr>
          <w:rFonts w:eastAsia="Aptos" w:hAnsi="Aptos"/>
          <w:color w:val="231F20"/>
          <w:spacing w:val="-1"/>
          <w:sz w:val="19"/>
          <w:szCs w:val="22"/>
        </w:rPr>
        <w:t>vertical</w:t>
      </w:r>
      <w:r w:rsidRPr="008A35B1">
        <w:rPr>
          <w:rFonts w:eastAsia="Aptos" w:hAnsi="Aptos"/>
          <w:color w:val="231F20"/>
          <w:spacing w:val="-12"/>
          <w:sz w:val="19"/>
          <w:szCs w:val="22"/>
        </w:rPr>
        <w:t xml:space="preserve"> </w:t>
      </w:r>
      <w:r w:rsidRPr="008A35B1">
        <w:rPr>
          <w:rFonts w:eastAsia="Aptos" w:hAnsi="Aptos"/>
          <w:color w:val="231F20"/>
          <w:spacing w:val="-1"/>
          <w:sz w:val="19"/>
          <w:szCs w:val="22"/>
        </w:rPr>
        <w:t>steering</w:t>
      </w:r>
      <w:r w:rsidRPr="008A35B1">
        <w:rPr>
          <w:rFonts w:eastAsia="Aptos" w:hAnsi="Aptos"/>
          <w:color w:val="231F20"/>
          <w:spacing w:val="-17"/>
          <w:sz w:val="19"/>
          <w:szCs w:val="22"/>
        </w:rPr>
        <w:t xml:space="preserve"> </w:t>
      </w:r>
      <w:r w:rsidRPr="008A35B1">
        <w:rPr>
          <w:rFonts w:eastAsia="Aptos" w:hAnsi="Aptos"/>
          <w:color w:val="231F20"/>
          <w:spacing w:val="-2"/>
          <w:sz w:val="19"/>
          <w:szCs w:val="22"/>
        </w:rPr>
        <w:t>range,</w:t>
      </w:r>
      <w:r w:rsidRPr="008A35B1">
        <w:rPr>
          <w:rFonts w:eastAsia="Aptos" w:hAnsi="Aptos"/>
          <w:color w:val="231F20"/>
          <w:spacing w:val="49"/>
          <w:w w:val="99"/>
          <w:sz w:val="19"/>
          <w:szCs w:val="22"/>
        </w:rPr>
        <w:t xml:space="preserve"> </w:t>
      </w:r>
      <w:r w:rsidRPr="008A35B1">
        <w:rPr>
          <w:rFonts w:eastAsia="Aptos" w:hAnsi="Aptos"/>
          <w:color w:val="231F20"/>
          <w:sz w:val="19"/>
          <w:szCs w:val="22"/>
        </w:rPr>
        <w:t>and</w:t>
      </w:r>
    </w:p>
    <w:p w14:paraId="1BF9F2F1" w14:textId="77777777" w:rsidR="00B636A7" w:rsidRPr="008A35B1" w:rsidRDefault="00B636A7" w:rsidP="00B636A7">
      <w:pPr>
        <w:widowControl w:val="0"/>
        <w:numPr>
          <w:ilvl w:val="0"/>
          <w:numId w:val="23"/>
        </w:numPr>
        <w:tabs>
          <w:tab w:val="left" w:pos="878"/>
        </w:tabs>
        <w:spacing w:before="73" w:after="0" w:line="240" w:lineRule="auto"/>
        <w:rPr>
          <w:rFonts w:eastAsia="Times New Roman"/>
          <w:sz w:val="19"/>
          <w:szCs w:val="19"/>
        </w:rPr>
      </w:pPr>
      <w:r w:rsidRPr="008A35B1">
        <w:rPr>
          <w:rFonts w:eastAsia="Times New Roman"/>
          <w:color w:val="231F20"/>
          <w:position w:val="2"/>
          <w:sz w:val="19"/>
          <w:szCs w:val="19"/>
        </w:rPr>
        <w:t>over</w:t>
      </w:r>
      <w:r w:rsidRPr="008A35B1">
        <w:rPr>
          <w:rFonts w:eastAsia="Times New Roman"/>
          <w:color w:val="231F20"/>
          <w:spacing w:val="-6"/>
          <w:position w:val="2"/>
          <w:sz w:val="19"/>
          <w:szCs w:val="19"/>
        </w:rPr>
        <w:t xml:space="preserve"> </w:t>
      </w:r>
      <w:r w:rsidRPr="008A35B1">
        <w:rPr>
          <w:rFonts w:eastAsia="Times New Roman"/>
          <w:color w:val="231F20"/>
          <w:spacing w:val="-2"/>
          <w:position w:val="2"/>
          <w:sz w:val="19"/>
          <w:szCs w:val="19"/>
        </w:rPr>
        <w:t>the</w:t>
      </w:r>
      <w:r w:rsidRPr="008A35B1">
        <w:rPr>
          <w:rFonts w:eastAsia="Times New Roman"/>
          <w:color w:val="231F20"/>
          <w:spacing w:val="-1"/>
          <w:position w:val="2"/>
          <w:sz w:val="19"/>
          <w:szCs w:val="19"/>
        </w:rPr>
        <w:t xml:space="preserve"> </w:t>
      </w:r>
      <w:r w:rsidRPr="008A35B1">
        <w:rPr>
          <w:rFonts w:eastAsia="Times New Roman"/>
          <w:color w:val="231F20"/>
          <w:spacing w:val="-2"/>
          <w:position w:val="2"/>
          <w:sz w:val="19"/>
          <w:szCs w:val="19"/>
        </w:rPr>
        <w:t>specified</w:t>
      </w:r>
      <w:r w:rsidRPr="008A35B1">
        <w:rPr>
          <w:rFonts w:eastAsia="Times New Roman"/>
          <w:color w:val="231F20"/>
          <w:spacing w:val="-6"/>
          <w:position w:val="2"/>
          <w:sz w:val="19"/>
          <w:szCs w:val="19"/>
        </w:rPr>
        <w:t xml:space="preserve"> </w:t>
      </w:r>
      <w:r w:rsidRPr="008A35B1">
        <w:rPr>
          <w:rFonts w:eastAsia="Times New Roman"/>
          <w:color w:val="231F20"/>
          <w:spacing w:val="-1"/>
          <w:position w:val="2"/>
          <w:sz w:val="19"/>
          <w:szCs w:val="19"/>
        </w:rPr>
        <w:t>vertical</w:t>
      </w:r>
      <w:r w:rsidRPr="008A35B1">
        <w:rPr>
          <w:rFonts w:eastAsia="Times New Roman"/>
          <w:color w:val="231F20"/>
          <w:spacing w:val="-4"/>
          <w:position w:val="2"/>
          <w:sz w:val="19"/>
          <w:szCs w:val="19"/>
        </w:rPr>
        <w:t xml:space="preserve"> </w:t>
      </w:r>
      <w:r w:rsidRPr="008A35B1">
        <w:rPr>
          <w:rFonts w:eastAsia="Times New Roman"/>
          <w:color w:val="231F20"/>
          <w:spacing w:val="-1"/>
          <w:position w:val="2"/>
          <w:sz w:val="19"/>
          <w:szCs w:val="19"/>
        </w:rPr>
        <w:t>angle</w:t>
      </w:r>
      <w:r w:rsidRPr="008A35B1">
        <w:rPr>
          <w:rFonts w:eastAsia="Times New Roman"/>
          <w:color w:val="231F20"/>
          <w:spacing w:val="-4"/>
          <w:position w:val="2"/>
          <w:sz w:val="19"/>
          <w:szCs w:val="19"/>
        </w:rPr>
        <w:t xml:space="preserve"> </w:t>
      </w:r>
      <w:r w:rsidRPr="008A35B1">
        <w:rPr>
          <w:rFonts w:eastAsia="Times New Roman"/>
          <w:color w:val="231F20"/>
          <w:spacing w:val="-1"/>
          <w:position w:val="2"/>
          <w:sz w:val="19"/>
          <w:szCs w:val="19"/>
        </w:rPr>
        <w:t>range</w:t>
      </w:r>
      <w:r w:rsidRPr="008A35B1">
        <w:rPr>
          <w:rFonts w:eastAsia="Times New Roman"/>
          <w:color w:val="231F20"/>
          <w:spacing w:val="-4"/>
          <w:position w:val="2"/>
          <w:sz w:val="19"/>
          <w:szCs w:val="19"/>
        </w:rPr>
        <w:t xml:space="preserve"> </w:t>
      </w:r>
      <w:r w:rsidRPr="008A35B1">
        <w:rPr>
          <w:rFonts w:eastAsia="Times New Roman"/>
          <w:color w:val="231F20"/>
          <w:spacing w:val="1"/>
          <w:position w:val="2"/>
          <w:sz w:val="19"/>
          <w:szCs w:val="19"/>
        </w:rPr>
        <w:t>θ</w:t>
      </w:r>
      <w:r w:rsidRPr="008A35B1">
        <w:rPr>
          <w:rFonts w:eastAsia="Times New Roman"/>
          <w:i/>
          <w:color w:val="231F20"/>
          <w:spacing w:val="1"/>
          <w:sz w:val="12"/>
          <w:szCs w:val="12"/>
        </w:rPr>
        <w:t>L</w:t>
      </w:r>
      <w:r w:rsidRPr="008A35B1">
        <w:rPr>
          <w:rFonts w:eastAsia="Times New Roman"/>
          <w:i/>
          <w:color w:val="231F20"/>
          <w:spacing w:val="16"/>
          <w:sz w:val="12"/>
          <w:szCs w:val="12"/>
        </w:rPr>
        <w:t xml:space="preserve"> </w:t>
      </w:r>
      <w:r w:rsidRPr="008A35B1">
        <w:rPr>
          <w:rFonts w:eastAsia="Times New Roman"/>
          <w:color w:val="231F20"/>
          <w:position w:val="2"/>
          <w:sz w:val="19"/>
          <w:szCs w:val="19"/>
        </w:rPr>
        <w:t>≤</w:t>
      </w:r>
      <w:r w:rsidRPr="008A35B1">
        <w:rPr>
          <w:rFonts w:eastAsia="Times New Roman"/>
          <w:color w:val="231F20"/>
          <w:spacing w:val="-6"/>
          <w:position w:val="2"/>
          <w:sz w:val="19"/>
          <w:szCs w:val="19"/>
        </w:rPr>
        <w:t xml:space="preserve"> </w:t>
      </w:r>
      <w:r w:rsidRPr="008A35B1">
        <w:rPr>
          <w:rFonts w:eastAsia="Times New Roman"/>
          <w:color w:val="231F20"/>
          <w:position w:val="2"/>
          <w:sz w:val="19"/>
          <w:szCs w:val="19"/>
        </w:rPr>
        <w:t>θ</w:t>
      </w:r>
      <w:r w:rsidRPr="008A35B1">
        <w:rPr>
          <w:rFonts w:eastAsia="Times New Roman"/>
          <w:color w:val="231F20"/>
          <w:spacing w:val="-6"/>
          <w:position w:val="2"/>
          <w:sz w:val="19"/>
          <w:szCs w:val="19"/>
        </w:rPr>
        <w:t xml:space="preserve"> </w:t>
      </w:r>
      <w:r w:rsidRPr="008A35B1">
        <w:rPr>
          <w:rFonts w:eastAsia="Times New Roman"/>
          <w:color w:val="231F20"/>
          <w:position w:val="2"/>
          <w:sz w:val="19"/>
          <w:szCs w:val="19"/>
        </w:rPr>
        <w:t>&lt;</w:t>
      </w:r>
      <w:r w:rsidRPr="008A35B1">
        <w:rPr>
          <w:rFonts w:eastAsia="Times New Roman"/>
          <w:color w:val="231F20"/>
          <w:spacing w:val="-5"/>
          <w:position w:val="2"/>
          <w:sz w:val="19"/>
          <w:szCs w:val="19"/>
        </w:rPr>
        <w:t xml:space="preserve"> </w:t>
      </w:r>
      <w:r w:rsidRPr="008A35B1">
        <w:rPr>
          <w:rFonts w:eastAsia="Times New Roman"/>
          <w:color w:val="231F20"/>
          <w:spacing w:val="-1"/>
          <w:position w:val="2"/>
          <w:sz w:val="19"/>
          <w:szCs w:val="19"/>
        </w:rPr>
        <w:t>θ</w:t>
      </w:r>
      <w:r w:rsidRPr="008A35B1">
        <w:rPr>
          <w:rFonts w:eastAsia="Times New Roman"/>
          <w:i/>
          <w:color w:val="231F20"/>
          <w:spacing w:val="-1"/>
          <w:sz w:val="12"/>
          <w:szCs w:val="12"/>
        </w:rPr>
        <w:t>H</w:t>
      </w:r>
      <w:r w:rsidRPr="008A35B1">
        <w:rPr>
          <w:rFonts w:eastAsia="Times New Roman"/>
          <w:color w:val="231F20"/>
          <w:spacing w:val="-1"/>
          <w:position w:val="2"/>
          <w:sz w:val="19"/>
          <w:szCs w:val="19"/>
        </w:rPr>
        <w:t>.</w:t>
      </w:r>
    </w:p>
    <w:p w14:paraId="5EE9CD88" w14:textId="77777777" w:rsidR="00B636A7" w:rsidRPr="008A35B1" w:rsidRDefault="00B636A7" w:rsidP="00B636A7">
      <w:pPr>
        <w:widowControl w:val="0"/>
        <w:spacing w:before="67" w:after="0" w:line="240" w:lineRule="auto"/>
        <w:ind w:left="610" w:right="610"/>
        <w:rPr>
          <w:rFonts w:eastAsia="Times New Roman"/>
          <w:sz w:val="19"/>
          <w:szCs w:val="19"/>
        </w:rPr>
      </w:pPr>
      <w:r w:rsidRPr="008A35B1">
        <w:rPr>
          <w:rFonts w:eastAsia="Aptos" w:hAnsi="Aptos"/>
          <w:color w:val="231F20"/>
          <w:spacing w:val="-1"/>
          <w:sz w:val="19"/>
          <w:szCs w:val="22"/>
        </w:rPr>
        <w:t>NOTE</w:t>
      </w:r>
      <w:r w:rsidRPr="008A35B1">
        <w:rPr>
          <w:rFonts w:eastAsia="Aptos" w:hAnsi="Aptos"/>
          <w:color w:val="231F20"/>
          <w:spacing w:val="-11"/>
          <w:sz w:val="19"/>
          <w:szCs w:val="22"/>
        </w:rPr>
        <w:t xml:space="preserve"> </w:t>
      </w:r>
      <w:r w:rsidRPr="008A35B1">
        <w:rPr>
          <w:rFonts w:eastAsia="Aptos" w:hAnsi="Aptos"/>
          <w:color w:val="231F20"/>
          <w:sz w:val="19"/>
          <w:szCs w:val="22"/>
        </w:rPr>
        <w:t>2:</w:t>
      </w:r>
      <w:r w:rsidRPr="008A35B1">
        <w:rPr>
          <w:rFonts w:eastAsia="Aptos" w:hAnsi="Aptos"/>
          <w:color w:val="231F20"/>
          <w:spacing w:val="-10"/>
          <w:sz w:val="19"/>
          <w:szCs w:val="22"/>
        </w:rPr>
        <w:t xml:space="preserve"> </w:t>
      </w:r>
      <w:r w:rsidRPr="008A35B1">
        <w:rPr>
          <w:rFonts w:eastAsia="Aptos" w:hAnsi="Aptos"/>
          <w:color w:val="231F20"/>
          <w:spacing w:val="-1"/>
          <w:sz w:val="19"/>
          <w:szCs w:val="22"/>
        </w:rPr>
        <w:t>An</w:t>
      </w:r>
      <w:r w:rsidRPr="008A35B1">
        <w:rPr>
          <w:rFonts w:eastAsia="Aptos" w:hAnsi="Aptos"/>
          <w:color w:val="231F20"/>
          <w:spacing w:val="-8"/>
          <w:sz w:val="19"/>
          <w:szCs w:val="22"/>
        </w:rPr>
        <w:t xml:space="preserve"> </w:t>
      </w:r>
      <w:r w:rsidRPr="008A35B1">
        <w:rPr>
          <w:rFonts w:eastAsia="Aptos" w:hAnsi="Aptos"/>
          <w:color w:val="231F20"/>
          <w:spacing w:val="-3"/>
          <w:sz w:val="19"/>
          <w:szCs w:val="22"/>
        </w:rPr>
        <w:t>IMT</w:t>
      </w:r>
      <w:r w:rsidRPr="008A35B1">
        <w:rPr>
          <w:rFonts w:eastAsia="Aptos" w:hAnsi="Aptos"/>
          <w:color w:val="231F20"/>
          <w:spacing w:val="-10"/>
          <w:sz w:val="19"/>
          <w:szCs w:val="22"/>
        </w:rPr>
        <w:t xml:space="preserve"> </w:t>
      </w:r>
      <w:r w:rsidRPr="008A35B1">
        <w:rPr>
          <w:rFonts w:eastAsia="Aptos" w:hAnsi="Aptos"/>
          <w:color w:val="231F20"/>
          <w:spacing w:val="-1"/>
          <w:sz w:val="19"/>
          <w:szCs w:val="22"/>
        </w:rPr>
        <w:t>base</w:t>
      </w:r>
      <w:r w:rsidRPr="008A35B1">
        <w:rPr>
          <w:rFonts w:eastAsia="Aptos" w:hAnsi="Aptos"/>
          <w:color w:val="231F20"/>
          <w:spacing w:val="-10"/>
          <w:sz w:val="19"/>
          <w:szCs w:val="22"/>
        </w:rPr>
        <w:t xml:space="preserve"> </w:t>
      </w:r>
      <w:r w:rsidRPr="008A35B1">
        <w:rPr>
          <w:rFonts w:eastAsia="Aptos" w:hAnsi="Aptos"/>
          <w:color w:val="231F20"/>
          <w:spacing w:val="-1"/>
          <w:sz w:val="19"/>
          <w:szCs w:val="22"/>
        </w:rPr>
        <w:t>station</w:t>
      </w:r>
      <w:r w:rsidRPr="008A35B1">
        <w:rPr>
          <w:rFonts w:eastAsia="Aptos" w:hAnsi="Aptos"/>
          <w:color w:val="231F20"/>
          <w:spacing w:val="-12"/>
          <w:sz w:val="19"/>
          <w:szCs w:val="22"/>
        </w:rPr>
        <w:t xml:space="preserve"> </w:t>
      </w:r>
      <w:r w:rsidRPr="008A35B1">
        <w:rPr>
          <w:rFonts w:eastAsia="Aptos" w:hAnsi="Aptos"/>
          <w:color w:val="231F20"/>
          <w:spacing w:val="-1"/>
          <w:sz w:val="19"/>
          <w:szCs w:val="22"/>
        </w:rPr>
        <w:t>shall</w:t>
      </w:r>
      <w:r w:rsidRPr="008A35B1">
        <w:rPr>
          <w:rFonts w:eastAsia="Aptos" w:hAnsi="Aptos"/>
          <w:color w:val="231F20"/>
          <w:spacing w:val="-10"/>
          <w:sz w:val="19"/>
          <w:szCs w:val="22"/>
        </w:rPr>
        <w:t xml:space="preserve"> </w:t>
      </w:r>
      <w:r w:rsidRPr="008A35B1">
        <w:rPr>
          <w:rFonts w:eastAsia="Aptos" w:hAnsi="Aptos"/>
          <w:color w:val="231F20"/>
          <w:spacing w:val="-1"/>
          <w:sz w:val="19"/>
          <w:szCs w:val="22"/>
        </w:rPr>
        <w:t>comply</w:t>
      </w:r>
      <w:r w:rsidRPr="008A35B1">
        <w:rPr>
          <w:rFonts w:eastAsia="Aptos" w:hAnsi="Aptos"/>
          <w:color w:val="231F20"/>
          <w:spacing w:val="-11"/>
          <w:sz w:val="19"/>
          <w:szCs w:val="22"/>
        </w:rPr>
        <w:t xml:space="preserve"> </w:t>
      </w:r>
      <w:r w:rsidRPr="008A35B1">
        <w:rPr>
          <w:rFonts w:eastAsia="Aptos" w:hAnsi="Aptos"/>
          <w:color w:val="231F20"/>
          <w:spacing w:val="-1"/>
          <w:sz w:val="19"/>
          <w:szCs w:val="22"/>
        </w:rPr>
        <w:t>with</w:t>
      </w:r>
      <w:r w:rsidRPr="008A35B1">
        <w:rPr>
          <w:rFonts w:eastAsia="Aptos" w:hAnsi="Aptos"/>
          <w:color w:val="231F20"/>
          <w:spacing w:val="-11"/>
          <w:sz w:val="19"/>
          <w:szCs w:val="22"/>
        </w:rPr>
        <w:t xml:space="preserve"> </w:t>
      </w:r>
      <w:r w:rsidRPr="008A35B1">
        <w:rPr>
          <w:rFonts w:eastAsia="Aptos" w:hAnsi="Aptos"/>
          <w:color w:val="231F20"/>
          <w:spacing w:val="-2"/>
          <w:sz w:val="19"/>
          <w:szCs w:val="22"/>
        </w:rPr>
        <w:t>the</w:t>
      </w:r>
      <w:r w:rsidRPr="008A35B1">
        <w:rPr>
          <w:rFonts w:eastAsia="Aptos" w:hAnsi="Aptos"/>
          <w:color w:val="231F20"/>
          <w:spacing w:val="-6"/>
          <w:sz w:val="19"/>
          <w:szCs w:val="22"/>
        </w:rPr>
        <w:t xml:space="preserve"> </w:t>
      </w:r>
      <w:r w:rsidRPr="008A35B1">
        <w:rPr>
          <w:rFonts w:eastAsia="Aptos" w:hAnsi="Aptos"/>
          <w:color w:val="231F20"/>
          <w:spacing w:val="-2"/>
          <w:sz w:val="19"/>
          <w:szCs w:val="22"/>
        </w:rPr>
        <w:t>specified</w:t>
      </w:r>
      <w:r w:rsidRPr="008A35B1">
        <w:rPr>
          <w:rFonts w:eastAsia="Aptos" w:hAnsi="Aptos"/>
          <w:color w:val="231F20"/>
          <w:spacing w:val="-8"/>
          <w:sz w:val="19"/>
          <w:szCs w:val="22"/>
        </w:rPr>
        <w:t xml:space="preserve"> </w:t>
      </w:r>
      <w:r w:rsidRPr="008A35B1">
        <w:rPr>
          <w:rFonts w:eastAsia="Aptos" w:hAnsi="Aptos"/>
          <w:color w:val="231F20"/>
          <w:spacing w:val="-1"/>
          <w:sz w:val="19"/>
          <w:szCs w:val="22"/>
        </w:rPr>
        <w:t>limits</w:t>
      </w:r>
      <w:r w:rsidRPr="008A35B1">
        <w:rPr>
          <w:rFonts w:eastAsia="Aptos" w:hAnsi="Aptos"/>
          <w:color w:val="231F20"/>
          <w:spacing w:val="-13"/>
          <w:sz w:val="19"/>
          <w:szCs w:val="22"/>
        </w:rPr>
        <w:t xml:space="preserve"> </w:t>
      </w:r>
      <w:r w:rsidRPr="008A35B1">
        <w:rPr>
          <w:rFonts w:eastAsia="Aptos" w:hAnsi="Aptos"/>
          <w:color w:val="231F20"/>
          <w:sz w:val="19"/>
          <w:szCs w:val="22"/>
        </w:rPr>
        <w:t>on</w:t>
      </w:r>
      <w:r w:rsidRPr="008A35B1">
        <w:rPr>
          <w:rFonts w:eastAsia="Aptos" w:hAnsi="Aptos"/>
          <w:color w:val="231F20"/>
          <w:spacing w:val="-11"/>
          <w:sz w:val="19"/>
          <w:szCs w:val="22"/>
        </w:rPr>
        <w:t xml:space="preserve"> </w:t>
      </w:r>
      <w:r w:rsidRPr="008A35B1">
        <w:rPr>
          <w:rFonts w:eastAsia="Aptos" w:hAnsi="Aptos"/>
          <w:color w:val="231F20"/>
          <w:spacing w:val="-1"/>
          <w:sz w:val="19"/>
          <w:szCs w:val="22"/>
        </w:rPr>
        <w:t>expected</w:t>
      </w:r>
      <w:r w:rsidRPr="008A35B1">
        <w:rPr>
          <w:rFonts w:eastAsia="Aptos" w:hAnsi="Aptos"/>
          <w:color w:val="231F20"/>
          <w:spacing w:val="-11"/>
          <w:sz w:val="19"/>
          <w:szCs w:val="22"/>
        </w:rPr>
        <w:t xml:space="preserve"> </w:t>
      </w:r>
      <w:proofErr w:type="spellStart"/>
      <w:r w:rsidRPr="008A35B1">
        <w:rPr>
          <w:rFonts w:eastAsia="Aptos" w:hAnsi="Aptos"/>
          <w:color w:val="231F20"/>
          <w:spacing w:val="-1"/>
          <w:sz w:val="19"/>
          <w:szCs w:val="22"/>
        </w:rPr>
        <w:t>e.i.r.p</w:t>
      </w:r>
      <w:proofErr w:type="spellEnd"/>
      <w:r w:rsidRPr="008A35B1">
        <w:rPr>
          <w:rFonts w:eastAsia="Aptos" w:hAnsi="Aptos"/>
          <w:color w:val="231F20"/>
          <w:spacing w:val="-1"/>
          <w:sz w:val="19"/>
          <w:szCs w:val="22"/>
        </w:rPr>
        <w:t>.</w:t>
      </w:r>
      <w:r w:rsidRPr="008A35B1">
        <w:rPr>
          <w:rFonts w:eastAsia="Aptos" w:hAnsi="Aptos"/>
          <w:color w:val="231F20"/>
          <w:spacing w:val="-10"/>
          <w:sz w:val="19"/>
          <w:szCs w:val="22"/>
        </w:rPr>
        <w:t xml:space="preserve"> </w:t>
      </w:r>
      <w:r w:rsidRPr="008A35B1">
        <w:rPr>
          <w:rFonts w:eastAsia="Aptos" w:hAnsi="Aptos"/>
          <w:color w:val="231F20"/>
          <w:spacing w:val="-1"/>
          <w:sz w:val="19"/>
          <w:szCs w:val="22"/>
        </w:rPr>
        <w:t>spectral</w:t>
      </w:r>
      <w:r w:rsidRPr="008A35B1">
        <w:rPr>
          <w:rFonts w:eastAsia="Aptos" w:hAnsi="Aptos"/>
          <w:color w:val="231F20"/>
          <w:spacing w:val="-10"/>
          <w:sz w:val="19"/>
          <w:szCs w:val="22"/>
        </w:rPr>
        <w:t xml:space="preserve"> </w:t>
      </w:r>
      <w:r w:rsidRPr="008A35B1">
        <w:rPr>
          <w:rFonts w:eastAsia="Aptos" w:hAnsi="Aptos"/>
          <w:color w:val="231F20"/>
          <w:spacing w:val="-2"/>
          <w:sz w:val="19"/>
          <w:szCs w:val="22"/>
        </w:rPr>
        <w:t>density</w:t>
      </w:r>
      <w:r w:rsidRPr="008A35B1">
        <w:rPr>
          <w:rFonts w:eastAsia="Aptos" w:hAnsi="Aptos"/>
          <w:color w:val="231F20"/>
          <w:spacing w:val="-8"/>
          <w:sz w:val="19"/>
          <w:szCs w:val="22"/>
        </w:rPr>
        <w:t xml:space="preserve"> </w:t>
      </w:r>
      <w:r w:rsidRPr="008A35B1">
        <w:rPr>
          <w:rFonts w:eastAsia="Aptos" w:hAnsi="Aptos"/>
          <w:color w:val="231F20"/>
          <w:spacing w:val="-2"/>
          <w:sz w:val="19"/>
          <w:szCs w:val="22"/>
        </w:rPr>
        <w:t>for</w:t>
      </w:r>
      <w:r w:rsidRPr="008A35B1">
        <w:rPr>
          <w:rFonts w:eastAsia="Aptos" w:hAnsi="Aptos"/>
          <w:color w:val="231F20"/>
          <w:spacing w:val="65"/>
          <w:w w:val="99"/>
          <w:sz w:val="19"/>
          <w:szCs w:val="22"/>
        </w:rPr>
        <w:t xml:space="preserve"> </w:t>
      </w:r>
      <w:r w:rsidRPr="008A35B1">
        <w:rPr>
          <w:rFonts w:eastAsia="Aptos" w:hAnsi="Aptos"/>
          <w:color w:val="231F20"/>
          <w:sz w:val="19"/>
          <w:szCs w:val="22"/>
        </w:rPr>
        <w:t>all</w:t>
      </w:r>
      <w:r w:rsidRPr="008A35B1">
        <w:rPr>
          <w:rFonts w:eastAsia="Aptos" w:hAnsi="Aptos"/>
          <w:color w:val="231F20"/>
          <w:spacing w:val="-11"/>
          <w:sz w:val="19"/>
          <w:szCs w:val="22"/>
        </w:rPr>
        <w:t xml:space="preserve"> </w:t>
      </w:r>
      <w:r w:rsidRPr="008A35B1">
        <w:rPr>
          <w:rFonts w:eastAsia="Aptos" w:hAnsi="Aptos"/>
          <w:color w:val="231F20"/>
          <w:spacing w:val="-1"/>
          <w:sz w:val="19"/>
          <w:szCs w:val="22"/>
        </w:rPr>
        <w:t>mechanical</w:t>
      </w:r>
      <w:r w:rsidRPr="008A35B1">
        <w:rPr>
          <w:rFonts w:eastAsia="Aptos" w:hAnsi="Aptos"/>
          <w:color w:val="231F20"/>
          <w:spacing w:val="-5"/>
          <w:sz w:val="19"/>
          <w:szCs w:val="22"/>
        </w:rPr>
        <w:t xml:space="preserve"> </w:t>
      </w:r>
      <w:r w:rsidRPr="008A35B1">
        <w:rPr>
          <w:rFonts w:eastAsia="Aptos" w:hAnsi="Aptos"/>
          <w:color w:val="231F20"/>
          <w:spacing w:val="-1"/>
          <w:sz w:val="19"/>
          <w:szCs w:val="22"/>
        </w:rPr>
        <w:t>tilts</w:t>
      </w:r>
      <w:r w:rsidRPr="008A35B1">
        <w:rPr>
          <w:rFonts w:eastAsia="Aptos" w:hAnsi="Aptos"/>
          <w:color w:val="231F20"/>
          <w:spacing w:val="-5"/>
          <w:sz w:val="19"/>
          <w:szCs w:val="22"/>
        </w:rPr>
        <w:t xml:space="preserve"> </w:t>
      </w:r>
      <w:r w:rsidRPr="008A35B1">
        <w:rPr>
          <w:rFonts w:eastAsia="Aptos" w:hAnsi="Aptos"/>
          <w:color w:val="231F20"/>
          <w:spacing w:val="-1"/>
          <w:sz w:val="19"/>
          <w:szCs w:val="22"/>
        </w:rPr>
        <w:t>with</w:t>
      </w:r>
      <w:r w:rsidRPr="008A35B1">
        <w:rPr>
          <w:rFonts w:eastAsia="Aptos" w:hAnsi="Aptos"/>
          <w:color w:val="231F20"/>
          <w:spacing w:val="-4"/>
          <w:sz w:val="19"/>
          <w:szCs w:val="22"/>
        </w:rPr>
        <w:t xml:space="preserve"> </w:t>
      </w:r>
      <w:r w:rsidRPr="008A35B1">
        <w:rPr>
          <w:rFonts w:eastAsia="Aptos" w:hAnsi="Aptos"/>
          <w:color w:val="231F20"/>
          <w:spacing w:val="-2"/>
          <w:sz w:val="19"/>
          <w:szCs w:val="22"/>
        </w:rPr>
        <w:t>which</w:t>
      </w:r>
      <w:r w:rsidRPr="008A35B1">
        <w:rPr>
          <w:rFonts w:eastAsia="Aptos" w:hAnsi="Aptos"/>
          <w:color w:val="231F20"/>
          <w:spacing w:val="-7"/>
          <w:sz w:val="19"/>
          <w:szCs w:val="22"/>
        </w:rPr>
        <w:t xml:space="preserve"> </w:t>
      </w:r>
      <w:r w:rsidRPr="008A35B1">
        <w:rPr>
          <w:rFonts w:eastAsia="Aptos" w:hAnsi="Aptos"/>
          <w:color w:val="231F20"/>
          <w:sz w:val="19"/>
          <w:szCs w:val="22"/>
        </w:rPr>
        <w:t>it</w:t>
      </w:r>
      <w:r w:rsidRPr="008A35B1">
        <w:rPr>
          <w:rFonts w:eastAsia="Aptos" w:hAnsi="Aptos"/>
          <w:color w:val="231F20"/>
          <w:spacing w:val="-6"/>
          <w:sz w:val="19"/>
          <w:szCs w:val="22"/>
        </w:rPr>
        <w:t xml:space="preserve"> </w:t>
      </w:r>
      <w:r w:rsidRPr="008A35B1">
        <w:rPr>
          <w:rFonts w:eastAsia="Aptos" w:hAnsi="Aptos"/>
          <w:color w:val="231F20"/>
          <w:spacing w:val="-1"/>
          <w:sz w:val="19"/>
          <w:szCs w:val="22"/>
        </w:rPr>
        <w:t>can</w:t>
      </w:r>
      <w:r w:rsidRPr="008A35B1">
        <w:rPr>
          <w:rFonts w:eastAsia="Aptos" w:hAnsi="Aptos"/>
          <w:color w:val="231F20"/>
          <w:spacing w:val="-7"/>
          <w:sz w:val="19"/>
          <w:szCs w:val="22"/>
        </w:rPr>
        <w:t xml:space="preserve"> </w:t>
      </w:r>
      <w:r w:rsidRPr="008A35B1">
        <w:rPr>
          <w:rFonts w:eastAsia="Aptos" w:hAnsi="Aptos"/>
          <w:color w:val="231F20"/>
          <w:sz w:val="19"/>
          <w:szCs w:val="22"/>
        </w:rPr>
        <w:t>be</w:t>
      </w:r>
      <w:r w:rsidRPr="008A35B1">
        <w:rPr>
          <w:rFonts w:eastAsia="Aptos" w:hAnsi="Aptos"/>
          <w:color w:val="231F20"/>
          <w:spacing w:val="-6"/>
          <w:sz w:val="19"/>
          <w:szCs w:val="22"/>
        </w:rPr>
        <w:t xml:space="preserve"> </w:t>
      </w:r>
      <w:r w:rsidRPr="008A35B1">
        <w:rPr>
          <w:rFonts w:eastAsia="Aptos" w:hAnsi="Aptos"/>
          <w:color w:val="231F20"/>
          <w:spacing w:val="-2"/>
          <w:sz w:val="19"/>
          <w:szCs w:val="22"/>
        </w:rPr>
        <w:t>deployed</w:t>
      </w:r>
      <w:r w:rsidRPr="008A35B1">
        <w:rPr>
          <w:rFonts w:eastAsia="Aptos" w:hAnsi="Aptos"/>
          <w:color w:val="231F20"/>
          <w:spacing w:val="-1"/>
          <w:sz w:val="19"/>
          <w:szCs w:val="22"/>
        </w:rPr>
        <w:t>.</w:t>
      </w:r>
    </w:p>
    <w:p w14:paraId="4A7ECD45" w14:textId="77777777" w:rsidR="00B636A7" w:rsidRPr="008A35B1" w:rsidRDefault="00B636A7" w:rsidP="00B636A7">
      <w:pPr>
        <w:widowControl w:val="0"/>
        <w:spacing w:before="75" w:after="0" w:line="240" w:lineRule="auto"/>
        <w:ind w:left="610" w:right="610"/>
        <w:rPr>
          <w:rFonts w:eastAsia="Times New Roman"/>
          <w:sz w:val="19"/>
          <w:szCs w:val="19"/>
        </w:rPr>
      </w:pPr>
      <w:r w:rsidRPr="008A35B1">
        <w:rPr>
          <w:rFonts w:eastAsia="Aptos" w:hAnsi="Aptos"/>
          <w:color w:val="231F20"/>
          <w:spacing w:val="-1"/>
          <w:sz w:val="19"/>
          <w:szCs w:val="22"/>
        </w:rPr>
        <w:t>NOTE</w:t>
      </w:r>
      <w:r w:rsidRPr="008A35B1">
        <w:rPr>
          <w:rFonts w:eastAsia="Aptos" w:hAnsi="Aptos"/>
          <w:color w:val="231F20"/>
          <w:spacing w:val="30"/>
          <w:sz w:val="19"/>
          <w:szCs w:val="22"/>
        </w:rPr>
        <w:t xml:space="preserve"> </w:t>
      </w:r>
      <w:r w:rsidRPr="008A35B1">
        <w:rPr>
          <w:rFonts w:eastAsia="Aptos" w:hAnsi="Aptos"/>
          <w:color w:val="231F20"/>
          <w:spacing w:val="-3"/>
          <w:sz w:val="19"/>
          <w:szCs w:val="22"/>
        </w:rPr>
        <w:t>3:</w:t>
      </w:r>
      <w:r w:rsidRPr="008A35B1">
        <w:rPr>
          <w:rFonts w:eastAsia="Aptos" w:hAnsi="Aptos"/>
          <w:color w:val="231F20"/>
          <w:spacing w:val="30"/>
          <w:sz w:val="19"/>
          <w:szCs w:val="22"/>
        </w:rPr>
        <w:t xml:space="preserve"> </w:t>
      </w:r>
      <w:r w:rsidRPr="008A35B1">
        <w:rPr>
          <w:rFonts w:eastAsia="Aptos" w:hAnsi="Aptos"/>
          <w:color w:val="231F20"/>
          <w:spacing w:val="-1"/>
          <w:sz w:val="19"/>
          <w:szCs w:val="22"/>
        </w:rPr>
        <w:t>See</w:t>
      </w:r>
      <w:r w:rsidRPr="008A35B1">
        <w:rPr>
          <w:rFonts w:eastAsia="Aptos" w:hAnsi="Aptos"/>
          <w:color w:val="231F20"/>
          <w:spacing w:val="27"/>
          <w:sz w:val="19"/>
          <w:szCs w:val="22"/>
        </w:rPr>
        <w:t xml:space="preserve"> </w:t>
      </w:r>
      <w:r w:rsidRPr="008A35B1">
        <w:rPr>
          <w:rFonts w:eastAsia="Aptos" w:hAnsi="Aptos"/>
          <w:color w:val="231F20"/>
          <w:sz w:val="19"/>
          <w:szCs w:val="22"/>
        </w:rPr>
        <w:t>the</w:t>
      </w:r>
      <w:r w:rsidRPr="008A35B1">
        <w:rPr>
          <w:rFonts w:eastAsia="Aptos" w:hAnsi="Aptos"/>
          <w:color w:val="231F20"/>
          <w:spacing w:val="30"/>
          <w:sz w:val="19"/>
          <w:szCs w:val="22"/>
        </w:rPr>
        <w:t xml:space="preserve"> </w:t>
      </w:r>
      <w:r w:rsidRPr="008A35B1">
        <w:rPr>
          <w:rFonts w:eastAsia="Aptos" w:hAnsi="Aptos"/>
          <w:color w:val="231F20"/>
          <w:spacing w:val="-2"/>
          <w:sz w:val="19"/>
          <w:szCs w:val="22"/>
        </w:rPr>
        <w:t>Annex</w:t>
      </w:r>
      <w:r w:rsidRPr="008A35B1">
        <w:rPr>
          <w:rFonts w:eastAsia="Aptos" w:hAnsi="Aptos"/>
          <w:color w:val="231F20"/>
          <w:spacing w:val="25"/>
          <w:sz w:val="19"/>
          <w:szCs w:val="22"/>
        </w:rPr>
        <w:t xml:space="preserve"> </w:t>
      </w:r>
      <w:r w:rsidRPr="008A35B1">
        <w:rPr>
          <w:rFonts w:eastAsia="Aptos" w:hAnsi="Aptos"/>
          <w:color w:val="231F20"/>
          <w:sz w:val="19"/>
          <w:szCs w:val="22"/>
        </w:rPr>
        <w:t>to</w:t>
      </w:r>
      <w:r w:rsidRPr="008A35B1">
        <w:rPr>
          <w:rFonts w:eastAsia="Aptos" w:hAnsi="Aptos"/>
          <w:color w:val="231F20"/>
          <w:spacing w:val="29"/>
          <w:sz w:val="19"/>
          <w:szCs w:val="22"/>
        </w:rPr>
        <w:t xml:space="preserve"> </w:t>
      </w:r>
      <w:r w:rsidRPr="008A35B1">
        <w:rPr>
          <w:rFonts w:eastAsia="Aptos" w:hAnsi="Aptos"/>
          <w:color w:val="231F20"/>
          <w:spacing w:val="-1"/>
          <w:sz w:val="19"/>
          <w:szCs w:val="22"/>
        </w:rPr>
        <w:t>this</w:t>
      </w:r>
      <w:r w:rsidRPr="008A35B1">
        <w:rPr>
          <w:rFonts w:eastAsia="Aptos" w:hAnsi="Aptos"/>
          <w:color w:val="231F20"/>
          <w:spacing w:val="27"/>
          <w:sz w:val="19"/>
          <w:szCs w:val="22"/>
        </w:rPr>
        <w:t xml:space="preserve"> </w:t>
      </w:r>
      <w:r w:rsidRPr="008A35B1">
        <w:rPr>
          <w:rFonts w:eastAsia="Aptos" w:hAnsi="Aptos"/>
          <w:color w:val="231F20"/>
          <w:spacing w:val="-1"/>
          <w:sz w:val="19"/>
          <w:szCs w:val="22"/>
        </w:rPr>
        <w:t>Resolution</w:t>
      </w:r>
      <w:r w:rsidRPr="008A35B1">
        <w:rPr>
          <w:rFonts w:eastAsia="Aptos" w:hAnsi="Aptos"/>
          <w:color w:val="231F20"/>
          <w:spacing w:val="29"/>
          <w:sz w:val="19"/>
          <w:szCs w:val="22"/>
        </w:rPr>
        <w:t xml:space="preserve"> </w:t>
      </w:r>
      <w:r w:rsidRPr="008A35B1">
        <w:rPr>
          <w:rFonts w:eastAsia="Aptos" w:hAnsi="Aptos"/>
          <w:color w:val="231F20"/>
          <w:spacing w:val="-2"/>
          <w:sz w:val="19"/>
          <w:szCs w:val="22"/>
        </w:rPr>
        <w:t>for</w:t>
      </w:r>
      <w:r w:rsidRPr="008A35B1">
        <w:rPr>
          <w:rFonts w:eastAsia="Aptos" w:hAnsi="Aptos"/>
          <w:color w:val="231F20"/>
          <w:spacing w:val="29"/>
          <w:sz w:val="19"/>
          <w:szCs w:val="22"/>
        </w:rPr>
        <w:t xml:space="preserve"> </w:t>
      </w:r>
      <w:r w:rsidRPr="008A35B1">
        <w:rPr>
          <w:rFonts w:eastAsia="Aptos" w:hAnsi="Aptos"/>
          <w:color w:val="231F20"/>
          <w:spacing w:val="-1"/>
          <w:sz w:val="19"/>
          <w:szCs w:val="22"/>
        </w:rPr>
        <w:t>additional</w:t>
      </w:r>
      <w:r w:rsidRPr="008A35B1">
        <w:rPr>
          <w:rFonts w:eastAsia="Aptos" w:hAnsi="Aptos"/>
          <w:color w:val="231F20"/>
          <w:spacing w:val="31"/>
          <w:sz w:val="19"/>
          <w:szCs w:val="22"/>
        </w:rPr>
        <w:t xml:space="preserve"> </w:t>
      </w:r>
      <w:r w:rsidRPr="008A35B1">
        <w:rPr>
          <w:rFonts w:eastAsia="Aptos" w:hAnsi="Aptos"/>
          <w:color w:val="231F20"/>
          <w:spacing w:val="-1"/>
          <w:sz w:val="19"/>
          <w:szCs w:val="22"/>
        </w:rPr>
        <w:t>details</w:t>
      </w:r>
      <w:r w:rsidRPr="008A35B1">
        <w:rPr>
          <w:rFonts w:eastAsia="Aptos" w:hAnsi="Aptos"/>
          <w:color w:val="231F20"/>
          <w:spacing w:val="26"/>
          <w:sz w:val="19"/>
          <w:szCs w:val="22"/>
        </w:rPr>
        <w:t xml:space="preserve"> </w:t>
      </w:r>
      <w:r w:rsidRPr="008A35B1">
        <w:rPr>
          <w:rFonts w:eastAsia="Aptos" w:hAnsi="Aptos"/>
          <w:color w:val="231F20"/>
          <w:spacing w:val="-3"/>
          <w:sz w:val="19"/>
          <w:szCs w:val="22"/>
        </w:rPr>
        <w:t>on</w:t>
      </w:r>
      <w:r w:rsidRPr="008A35B1">
        <w:rPr>
          <w:rFonts w:eastAsia="Aptos" w:hAnsi="Aptos"/>
          <w:color w:val="231F20"/>
          <w:spacing w:val="29"/>
          <w:sz w:val="19"/>
          <w:szCs w:val="22"/>
        </w:rPr>
        <w:t xml:space="preserve"> </w:t>
      </w:r>
      <w:r w:rsidRPr="008A35B1">
        <w:rPr>
          <w:rFonts w:eastAsia="Aptos" w:hAnsi="Aptos"/>
          <w:color w:val="231F20"/>
          <w:sz w:val="19"/>
          <w:szCs w:val="22"/>
        </w:rPr>
        <w:t>how</w:t>
      </w:r>
      <w:r w:rsidRPr="008A35B1">
        <w:rPr>
          <w:rFonts w:eastAsia="Aptos" w:hAnsi="Aptos"/>
          <w:color w:val="231F20"/>
          <w:spacing w:val="27"/>
          <w:sz w:val="19"/>
          <w:szCs w:val="22"/>
        </w:rPr>
        <w:t xml:space="preserve"> </w:t>
      </w:r>
      <w:r w:rsidRPr="008A35B1">
        <w:rPr>
          <w:rFonts w:eastAsia="Aptos" w:hAnsi="Aptos"/>
          <w:color w:val="231F20"/>
          <w:spacing w:val="-2"/>
          <w:sz w:val="19"/>
          <w:szCs w:val="22"/>
        </w:rPr>
        <w:t>the</w:t>
      </w:r>
      <w:r w:rsidRPr="008A35B1">
        <w:rPr>
          <w:rFonts w:eastAsia="Aptos" w:hAnsi="Aptos"/>
          <w:color w:val="231F20"/>
          <w:spacing w:val="31"/>
          <w:sz w:val="19"/>
          <w:szCs w:val="22"/>
        </w:rPr>
        <w:t xml:space="preserve"> </w:t>
      </w:r>
      <w:r w:rsidRPr="008A35B1">
        <w:rPr>
          <w:rFonts w:eastAsia="Aptos" w:hAnsi="Aptos"/>
          <w:color w:val="231F20"/>
          <w:spacing w:val="-1"/>
          <w:sz w:val="19"/>
          <w:szCs w:val="22"/>
        </w:rPr>
        <w:t>expected</w:t>
      </w:r>
      <w:r w:rsidRPr="008A35B1">
        <w:rPr>
          <w:rFonts w:eastAsia="Aptos" w:hAnsi="Aptos"/>
          <w:color w:val="231F20"/>
          <w:spacing w:val="28"/>
          <w:sz w:val="19"/>
          <w:szCs w:val="22"/>
        </w:rPr>
        <w:t xml:space="preserve"> </w:t>
      </w:r>
      <w:proofErr w:type="spellStart"/>
      <w:r w:rsidRPr="008A35B1">
        <w:rPr>
          <w:rFonts w:eastAsia="Aptos" w:hAnsi="Aptos"/>
          <w:color w:val="231F20"/>
          <w:spacing w:val="-1"/>
          <w:sz w:val="19"/>
          <w:szCs w:val="22"/>
        </w:rPr>
        <w:t>e.i.r.p</w:t>
      </w:r>
      <w:proofErr w:type="spellEnd"/>
      <w:r w:rsidRPr="008A35B1">
        <w:rPr>
          <w:rFonts w:eastAsia="Aptos" w:hAnsi="Aptos"/>
          <w:color w:val="231F20"/>
          <w:spacing w:val="-1"/>
          <w:sz w:val="19"/>
          <w:szCs w:val="22"/>
        </w:rPr>
        <w:t>.</w:t>
      </w:r>
      <w:r w:rsidRPr="008A35B1">
        <w:rPr>
          <w:rFonts w:eastAsia="Aptos" w:hAnsi="Aptos"/>
          <w:color w:val="231F20"/>
          <w:spacing w:val="27"/>
          <w:sz w:val="19"/>
          <w:szCs w:val="22"/>
        </w:rPr>
        <w:t xml:space="preserve"> </w:t>
      </w:r>
      <w:r w:rsidRPr="008A35B1">
        <w:rPr>
          <w:rFonts w:eastAsia="Aptos" w:hAnsi="Aptos"/>
          <w:color w:val="231F20"/>
          <w:spacing w:val="-1"/>
          <w:sz w:val="19"/>
          <w:szCs w:val="22"/>
        </w:rPr>
        <w:t>can</w:t>
      </w:r>
      <w:r w:rsidRPr="008A35B1">
        <w:rPr>
          <w:rFonts w:eastAsia="Aptos" w:hAnsi="Aptos"/>
          <w:color w:val="231F20"/>
          <w:spacing w:val="29"/>
          <w:sz w:val="19"/>
          <w:szCs w:val="22"/>
        </w:rPr>
        <w:t xml:space="preserve"> </w:t>
      </w:r>
      <w:r w:rsidRPr="008A35B1">
        <w:rPr>
          <w:rFonts w:eastAsia="Aptos" w:hAnsi="Aptos"/>
          <w:color w:val="231F20"/>
          <w:sz w:val="19"/>
          <w:szCs w:val="22"/>
        </w:rPr>
        <w:t>be</w:t>
      </w:r>
      <w:r w:rsidRPr="008A35B1">
        <w:rPr>
          <w:rFonts w:eastAsia="Aptos" w:hAnsi="Aptos"/>
          <w:color w:val="231F20"/>
          <w:spacing w:val="57"/>
          <w:w w:val="99"/>
          <w:sz w:val="19"/>
          <w:szCs w:val="22"/>
        </w:rPr>
        <w:t xml:space="preserve"> </w:t>
      </w:r>
      <w:r w:rsidRPr="008A35B1">
        <w:rPr>
          <w:rFonts w:eastAsia="Aptos" w:hAnsi="Aptos"/>
          <w:color w:val="231F20"/>
          <w:spacing w:val="-1"/>
          <w:sz w:val="19"/>
          <w:szCs w:val="22"/>
        </w:rPr>
        <w:t>calculated</w:t>
      </w:r>
      <w:r w:rsidRPr="008A35B1">
        <w:rPr>
          <w:rFonts w:eastAsia="Aptos" w:hAnsi="Aptos"/>
          <w:color w:val="231F20"/>
          <w:spacing w:val="-10"/>
          <w:sz w:val="19"/>
          <w:szCs w:val="22"/>
        </w:rPr>
        <w:t xml:space="preserve"> </w:t>
      </w:r>
      <w:r w:rsidRPr="008A35B1">
        <w:rPr>
          <w:rFonts w:eastAsia="Aptos" w:hAnsi="Aptos"/>
          <w:color w:val="231F20"/>
          <w:sz w:val="19"/>
          <w:szCs w:val="22"/>
        </w:rPr>
        <w:t>for</w:t>
      </w:r>
      <w:r w:rsidRPr="008A35B1">
        <w:rPr>
          <w:rFonts w:eastAsia="Aptos" w:hAnsi="Aptos"/>
          <w:color w:val="231F20"/>
          <w:spacing w:val="-9"/>
          <w:sz w:val="19"/>
          <w:szCs w:val="22"/>
        </w:rPr>
        <w:t xml:space="preserve"> </w:t>
      </w:r>
      <w:r w:rsidRPr="008A35B1">
        <w:rPr>
          <w:rFonts w:eastAsia="Aptos" w:hAnsi="Aptos"/>
          <w:color w:val="231F20"/>
          <w:spacing w:val="-1"/>
          <w:sz w:val="19"/>
          <w:szCs w:val="22"/>
        </w:rPr>
        <w:t>this</w:t>
      </w:r>
      <w:r w:rsidRPr="008A35B1">
        <w:rPr>
          <w:rFonts w:eastAsia="Aptos" w:hAnsi="Aptos"/>
          <w:color w:val="231F20"/>
          <w:spacing w:val="-6"/>
          <w:sz w:val="19"/>
          <w:szCs w:val="22"/>
        </w:rPr>
        <w:t xml:space="preserve"> </w:t>
      </w:r>
      <w:r w:rsidRPr="008A35B1">
        <w:rPr>
          <w:rFonts w:eastAsia="Aptos" w:hAnsi="Aptos"/>
          <w:color w:val="231F20"/>
          <w:spacing w:val="-2"/>
          <w:sz w:val="19"/>
          <w:szCs w:val="22"/>
        </w:rPr>
        <w:t>frequency</w:t>
      </w:r>
      <w:r w:rsidRPr="008A35B1">
        <w:rPr>
          <w:rFonts w:eastAsia="Aptos" w:hAnsi="Aptos"/>
          <w:color w:val="231F20"/>
          <w:spacing w:val="-5"/>
          <w:sz w:val="19"/>
          <w:szCs w:val="22"/>
        </w:rPr>
        <w:t xml:space="preserve"> </w:t>
      </w:r>
      <w:r w:rsidRPr="008A35B1">
        <w:rPr>
          <w:rFonts w:eastAsia="Aptos" w:hAnsi="Aptos"/>
          <w:color w:val="231F20"/>
          <w:spacing w:val="-2"/>
          <w:sz w:val="19"/>
          <w:szCs w:val="22"/>
        </w:rPr>
        <w:t>band.</w:t>
      </w:r>
    </w:p>
    <w:p w14:paraId="7D95BB5C" w14:textId="77777777" w:rsidR="00B636A7" w:rsidRPr="008A35B1" w:rsidRDefault="00B636A7" w:rsidP="00B636A7">
      <w:pPr>
        <w:spacing w:after="180"/>
        <w:jc w:val="both"/>
      </w:pPr>
    </w:p>
    <w:p w14:paraId="7441BCD1" w14:textId="77777777" w:rsidR="00B636A7" w:rsidRPr="008A35B1" w:rsidRDefault="00B636A7" w:rsidP="00B636A7">
      <w:pPr>
        <w:spacing w:after="180"/>
        <w:jc w:val="both"/>
      </w:pPr>
      <w:r w:rsidRPr="008A35B1">
        <w:t>These radiated power limits are intended to control interference between terrestrial mobile services (IMT) and fixed satellite services (FSS) (Earth-to-space) such that they can coexist in the same frequency band.</w:t>
      </w:r>
    </w:p>
    <w:p w14:paraId="18F59CA2" w14:textId="77777777" w:rsidR="00B636A7" w:rsidRPr="008A35B1" w:rsidRDefault="00B636A7" w:rsidP="00B636A7">
      <w:pPr>
        <w:spacing w:after="180"/>
        <w:jc w:val="both"/>
      </w:pPr>
      <w:r w:rsidRPr="008A35B1">
        <w:t xml:space="preserve">The expected EIRP mask sets a regulatory limit on the expected EIRP within each vertical (elevation) angle </w:t>
      </w:r>
      <m:oMath>
        <m:d>
          <m:dPr>
            <m:ctrlPr>
              <w:rPr>
                <w:rFonts w:ascii="Cambria Math" w:hAnsi="Cambria Math"/>
                <w:i/>
              </w:rPr>
            </m:ctrlPr>
          </m:dPr>
          <m:e>
            <m:r>
              <w:rPr>
                <w:rFonts w:ascii="Cambria Math" w:hAnsi="Cambria Math"/>
              </w:rPr>
              <m:t>θ</m:t>
            </m:r>
          </m:e>
        </m:d>
      </m:oMath>
      <w:r w:rsidRPr="008A35B1">
        <w:t xml:space="preserve"> window at or above the horizon </w:t>
      </w:r>
      <m:oMath>
        <m:d>
          <m:dPr>
            <m:ctrlPr>
              <w:rPr>
                <w:rFonts w:ascii="Cambria Math" w:hAnsi="Cambria Math"/>
                <w:i/>
              </w:rPr>
            </m:ctrlPr>
          </m:dPr>
          <m:e>
            <m:r>
              <w:rPr>
                <w:rFonts w:ascii="Cambria Math" w:hAnsi="Cambria Math"/>
              </w:rPr>
              <m:t>0°≤θ≤90°</m:t>
            </m:r>
          </m:e>
        </m:d>
      </m:oMath>
      <w:r w:rsidRPr="008A35B1">
        <w:t>. The proposed expected EIRP mask is accompanied with specific “</w:t>
      </w:r>
      <w:r w:rsidRPr="008A35B1">
        <w:rPr>
          <w:i/>
          <w:iCs/>
        </w:rPr>
        <w:t>Notes</w:t>
      </w:r>
      <w:r w:rsidRPr="008A35B1">
        <w:t>” which clearly define the statistical expectation (averaging) process and state the stochastic parameters involved in the expectation process. The “</w:t>
      </w:r>
      <w:r w:rsidRPr="008A35B1">
        <w:rPr>
          <w:i/>
          <w:iCs/>
        </w:rPr>
        <w:t>Notes</w:t>
      </w:r>
      <w:r w:rsidRPr="008A35B1">
        <w:t>” are used to define explicit conditions required for verification of the derived expected EIRP limits, ensuring that the defined limits are clear and cannot be misinterpreted.</w:t>
      </w:r>
    </w:p>
    <w:p w14:paraId="2186AC53" w14:textId="6357846A" w:rsidR="00B636A7" w:rsidRPr="008A35B1" w:rsidRDefault="00B636A7" w:rsidP="00B636A7">
      <w:pPr>
        <w:spacing w:after="180"/>
        <w:jc w:val="both"/>
      </w:pPr>
      <w:r w:rsidRPr="008A35B1">
        <w:t xml:space="preserve">The expectation process in calculating the expected EIRP spectral density of an IMT base station is over the horizontal angles, beamforming directions and vertical (elevation) angle windows as illustrated in </w:t>
      </w:r>
      <w:r w:rsidRPr="008A35B1">
        <w:fldChar w:fldCharType="begin"/>
      </w:r>
      <w:r w:rsidRPr="008A35B1">
        <w:instrText xml:space="preserve"> REF _Ref178597958 \h </w:instrText>
      </w:r>
      <w:r w:rsidRPr="008A35B1">
        <w:fldChar w:fldCharType="separate"/>
      </w:r>
      <w:r w:rsidR="00761C39" w:rsidRPr="008A35B1">
        <w:t xml:space="preserve">Figure </w:t>
      </w:r>
      <w:r w:rsidR="00761C39">
        <w:rPr>
          <w:noProof/>
        </w:rPr>
        <w:t>3</w:t>
      </w:r>
      <w:r w:rsidRPr="008A35B1">
        <w:fldChar w:fldCharType="end"/>
      </w:r>
      <w:r w:rsidRPr="008A35B1">
        <w:t>. The EIRP of an IMT base station in the horizontal (azimuth) direction − π ≤ φ ≤ π and vertical (elevation) direction 0 ≤ θ ≤ π/2 above the horizon can be written as P(θ, φ; α, β). The parameters α and β are the horizontal and vertical beamforming directions, i.e. the angles towards which the base station electronically steers a beam.</w:t>
      </w:r>
    </w:p>
    <w:p w14:paraId="468DABD7" w14:textId="77777777" w:rsidR="00B636A7" w:rsidRPr="008A35B1" w:rsidRDefault="00B636A7" w:rsidP="00B636A7">
      <w:pPr>
        <w:keepNext/>
        <w:spacing w:after="180"/>
        <w:jc w:val="center"/>
      </w:pPr>
      <w:r w:rsidRPr="008A35B1">
        <w:rPr>
          <w:noProof/>
        </w:rPr>
        <w:drawing>
          <wp:inline distT="0" distB="0" distL="0" distR="0" wp14:anchorId="3C4C0F14" wp14:editId="7EF1D0C4">
            <wp:extent cx="3774650" cy="183572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98822" cy="1847484"/>
                    </a:xfrm>
                    <a:prstGeom prst="rect">
                      <a:avLst/>
                    </a:prstGeom>
                  </pic:spPr>
                </pic:pic>
              </a:graphicData>
            </a:graphic>
          </wp:inline>
        </w:drawing>
      </w:r>
    </w:p>
    <w:p w14:paraId="44064015" w14:textId="7D80B02F" w:rsidR="00B636A7" w:rsidRPr="008A35B1" w:rsidRDefault="00B636A7" w:rsidP="00B636A7">
      <w:pPr>
        <w:pStyle w:val="Caption"/>
        <w:jc w:val="center"/>
      </w:pPr>
      <w:bookmarkStart w:id="31" w:name="_Ref178597958"/>
      <w:r w:rsidRPr="008A35B1">
        <w:t xml:space="preserve">Figure </w:t>
      </w:r>
      <w:r w:rsidRPr="008A35B1">
        <w:fldChar w:fldCharType="begin"/>
      </w:r>
      <w:r w:rsidRPr="008A35B1">
        <w:instrText xml:space="preserve"> SEQ Figure \* ARABIC </w:instrText>
      </w:r>
      <w:r w:rsidRPr="008A35B1">
        <w:fldChar w:fldCharType="separate"/>
      </w:r>
      <w:r w:rsidR="00761C39">
        <w:rPr>
          <w:noProof/>
        </w:rPr>
        <w:t>3</w:t>
      </w:r>
      <w:r w:rsidRPr="008A35B1">
        <w:fldChar w:fldCharType="end"/>
      </w:r>
      <w:bookmarkEnd w:id="31"/>
      <w:r w:rsidRPr="008A35B1">
        <w:t xml:space="preserve">. Illustration of </w:t>
      </w:r>
      <w:r w:rsidR="00F656ED" w:rsidRPr="008A35B1">
        <w:t>a beamforming direction for a downlink transmission of any rank</w:t>
      </w:r>
      <w:r w:rsidR="006F0BB9" w:rsidRPr="008A35B1">
        <w:t xml:space="preserve">. EIRP restrictions apply on angular </w:t>
      </w:r>
      <w:r w:rsidR="00267F06" w:rsidRPr="008A35B1">
        <w:t>regions</w:t>
      </w:r>
      <w:r w:rsidR="00387D49" w:rsidRPr="008A35B1">
        <w:t xml:space="preserve"> above the horizon:</w:t>
      </w:r>
      <w:r w:rsidR="00267F06" w:rsidRPr="008A35B1">
        <w:t xml:space="preserve"> </w:t>
      </w:r>
      <m:oMath>
        <m:sSub>
          <m:sSubPr>
            <m:ctrlPr>
              <w:rPr>
                <w:rFonts w:ascii="Cambria Math" w:hAnsi="Cambria Math"/>
                <w:i/>
              </w:rPr>
            </m:ctrlPr>
          </m:sSubPr>
          <m:e>
            <m:r>
              <m:rPr>
                <m:sty m:val="bi"/>
              </m:rPr>
              <w:rPr>
                <w:rFonts w:ascii="Cambria Math" w:hAnsi="Cambria Math"/>
              </w:rPr>
              <m:t>θ</m:t>
            </m:r>
          </m:e>
          <m:sub>
            <m:r>
              <m:rPr>
                <m:sty m:val="bi"/>
              </m:rPr>
              <w:rPr>
                <w:rFonts w:ascii="Cambria Math" w:hAnsi="Cambria Math"/>
              </w:rPr>
              <m:t>L</m:t>
            </m:r>
          </m:sub>
        </m:sSub>
        <m:r>
          <m:rPr>
            <m:sty m:val="bi"/>
          </m:rPr>
          <w:rPr>
            <w:rFonts w:ascii="Cambria Math" w:hAnsi="Cambria Math"/>
          </w:rPr>
          <m:t>≤θ&lt;</m:t>
        </m:r>
        <m:sSub>
          <m:sSubPr>
            <m:ctrlPr>
              <w:rPr>
                <w:rFonts w:ascii="Cambria Math" w:hAnsi="Cambria Math"/>
                <w:i/>
                <w:iCs/>
              </w:rPr>
            </m:ctrlPr>
          </m:sSubPr>
          <m:e>
            <m:r>
              <m:rPr>
                <m:sty m:val="bi"/>
              </m:rPr>
              <w:rPr>
                <w:rFonts w:ascii="Cambria Math" w:hAnsi="Cambria Math"/>
              </w:rPr>
              <m:t>θ</m:t>
            </m:r>
          </m:e>
          <m:sub>
            <m:r>
              <m:rPr>
                <m:sty m:val="bi"/>
              </m:rPr>
              <w:rPr>
                <w:rFonts w:ascii="Cambria Math" w:hAnsi="Cambria Math"/>
              </w:rPr>
              <m:t>H</m:t>
            </m:r>
          </m:sub>
        </m:sSub>
      </m:oMath>
    </w:p>
    <w:p w14:paraId="3ED52B76" w14:textId="77777777" w:rsidR="00B636A7" w:rsidRPr="008A35B1" w:rsidRDefault="00B636A7" w:rsidP="00B636A7">
      <w:pPr>
        <w:spacing w:after="180"/>
        <w:jc w:val="both"/>
      </w:pPr>
    </w:p>
    <w:p w14:paraId="12F132CC" w14:textId="77777777" w:rsidR="00B636A7" w:rsidRPr="008A35B1" w:rsidRDefault="00B636A7" w:rsidP="00B636A7">
      <w:pPr>
        <w:spacing w:after="180"/>
        <w:jc w:val="both"/>
        <w:rPr>
          <w:i/>
        </w:rPr>
      </w:pPr>
      <w:r w:rsidRPr="008A35B1">
        <w:t xml:space="preserve">For active antenna system base stations </w:t>
      </w:r>
      <w:r w:rsidRPr="008A35B1">
        <w:rPr>
          <w:bCs/>
        </w:rPr>
        <w:t>within a given horizontal and vertical steering range</w:t>
      </w:r>
      <w:r w:rsidRPr="008A35B1">
        <w:t xml:space="preserve">, </w:t>
      </w:r>
      <w:r w:rsidRPr="008A35B1">
        <w:rPr>
          <w:bCs/>
        </w:rPr>
        <w:t>averaging over beamforming directions for a given vertical angle θ</w:t>
      </w:r>
      <w:r w:rsidRPr="008A35B1">
        <w:rPr>
          <w:bCs/>
          <w:vertAlign w:val="subscript"/>
        </w:rPr>
        <w:t>0</w:t>
      </w:r>
      <w:r w:rsidRPr="008A35B1">
        <w:rPr>
          <w:bCs/>
        </w:rPr>
        <w:t xml:space="preserve"> and horizontal angle φ</w:t>
      </w:r>
      <w:r w:rsidRPr="008A35B1">
        <w:rPr>
          <w:bCs/>
          <w:vertAlign w:val="subscript"/>
        </w:rPr>
        <w:t>0</w:t>
      </w:r>
      <w:r w:rsidRPr="008A35B1">
        <w:rPr>
          <w:bCs/>
        </w:rPr>
        <w:t xml:space="preserve"> the expectation of the EIRP spectral density is obtained by averaging over a sufficient sampling of </w:t>
      </w:r>
      <w:r w:rsidRPr="008A35B1">
        <w:rPr>
          <w:bCs/>
          <w:i/>
        </w:rPr>
        <w:t xml:space="preserve">N </w:t>
      </w:r>
      <w:r w:rsidRPr="008A35B1">
        <w:rPr>
          <w:bCs/>
        </w:rPr>
        <w:t>beamforming</w:t>
      </w:r>
      <w:r w:rsidRPr="008A35B1">
        <w:t xml:space="preserve"> directions (α</w:t>
      </w:r>
      <w:r w:rsidRPr="008A35B1">
        <w:rPr>
          <w:i/>
          <w:vertAlign w:val="subscript"/>
        </w:rPr>
        <w:t>n</w:t>
      </w:r>
      <w:r w:rsidRPr="008A35B1">
        <w:t>, β</w:t>
      </w:r>
      <w:r w:rsidRPr="008A35B1">
        <w:rPr>
          <w:i/>
          <w:vertAlign w:val="subscript"/>
        </w:rPr>
        <w:t>n</w:t>
      </w:r>
      <w:r w:rsidRPr="008A35B1">
        <w:t xml:space="preserve">) </w:t>
      </w:r>
      <w:r w:rsidRPr="008A35B1">
        <w:rPr>
          <w:i/>
        </w:rPr>
        <w:t xml:space="preserve">n </w:t>
      </w:r>
      <w:r w:rsidRPr="008A35B1">
        <w:t xml:space="preserve">= 1 ... </w:t>
      </w:r>
      <w:r w:rsidRPr="008A35B1">
        <w:rPr>
          <w:i/>
        </w:rPr>
        <w:t>N.</w:t>
      </w:r>
    </w:p>
    <w:p w14:paraId="4A368949" w14:textId="77777777" w:rsidR="00B636A7" w:rsidRPr="008A35B1" w:rsidRDefault="00B636A7" w:rsidP="00B636A7">
      <w:pPr>
        <w:spacing w:after="180"/>
        <w:jc w:val="both"/>
        <w:rPr>
          <w:iCs/>
        </w:rPr>
      </w:pPr>
      <w:r w:rsidRPr="008A35B1">
        <w:rPr>
          <w:iCs/>
        </w:rPr>
        <w:t xml:space="preserve">The beamforming directions </w:t>
      </w:r>
      <w:r w:rsidRPr="008A35B1">
        <w:t>(α</w:t>
      </w:r>
      <w:r w:rsidRPr="008A35B1">
        <w:rPr>
          <w:i/>
          <w:vertAlign w:val="subscript"/>
        </w:rPr>
        <w:t>n</w:t>
      </w:r>
      <w:r w:rsidRPr="008A35B1">
        <w:t>, β</w:t>
      </w:r>
      <w:r w:rsidRPr="008A35B1">
        <w:rPr>
          <w:i/>
          <w:vertAlign w:val="subscript"/>
        </w:rPr>
        <w:t>n</w:t>
      </w:r>
      <w:r w:rsidRPr="008A35B1">
        <w:t xml:space="preserve">) </w:t>
      </w:r>
      <w:r w:rsidRPr="008A35B1">
        <w:rPr>
          <w:iCs/>
        </w:rPr>
        <w:t>have a uniform statistical angular distribution within the steering range of the IMT base station. In other words:</w:t>
      </w:r>
    </w:p>
    <w:p w14:paraId="293D92CF" w14:textId="77777777" w:rsidR="00B636A7" w:rsidRPr="008A35B1" w:rsidRDefault="00341015" w:rsidP="00B636A7">
      <w:pPr>
        <w:spacing w:after="180"/>
        <w:jc w:val="both"/>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e>
          </m:d>
          <m:r>
            <w:rPr>
              <w:rFonts w:ascii="Cambria Math" w:hAnsi="Cambria Math"/>
            </w:rPr>
            <m:t>=</m:t>
          </m:r>
          <m:nary>
            <m:naryPr>
              <m:chr m:val="∑"/>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w</m:t>
                  </m:r>
                </m:e>
                <m:sub>
                  <m:r>
                    <w:rPr>
                      <w:rFonts w:ascii="Cambria Math" w:hAnsi="Cambria Math"/>
                    </w:rPr>
                    <m:t>n</m:t>
                  </m:r>
                </m:sub>
              </m:sSub>
              <m:r>
                <w:rPr>
                  <w:rFonts w:ascii="Cambria Math" w:hAnsi="Cambria Math"/>
                </w:rPr>
                <m:t>P(</m:t>
              </m:r>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n</m:t>
                  </m:r>
                </m:sub>
              </m:sSub>
              <m:r>
                <w:rPr>
                  <w:rFonts w:ascii="Cambria Math" w:hAnsi="Cambria Math"/>
                </w:rPr>
                <m:t>)</m:t>
              </m:r>
            </m:e>
          </m:nary>
        </m:oMath>
      </m:oMathPara>
    </w:p>
    <w:p w14:paraId="3A35C825" w14:textId="77777777" w:rsidR="00B636A7" w:rsidRPr="008A35B1" w:rsidRDefault="00B636A7" w:rsidP="00B636A7">
      <w:pPr>
        <w:spacing w:after="180"/>
        <w:jc w:val="both"/>
        <w:rPr>
          <w:iCs/>
        </w:rPr>
      </w:pPr>
      <w:r w:rsidRPr="008A35B1">
        <w:rPr>
          <w:iCs/>
        </w:rPr>
        <w:t xml:space="preserve">Where the EIRP spectral densities are in units of </w:t>
      </w:r>
      <w:proofErr w:type="spellStart"/>
      <w:r w:rsidRPr="008A35B1">
        <w:rPr>
          <w:iCs/>
        </w:rPr>
        <w:t>mW</w:t>
      </w:r>
      <w:proofErr w:type="spellEnd"/>
      <w:r w:rsidRPr="008A35B1">
        <w:rPr>
          <w:iCs/>
        </w:rPr>
        <w:t xml:space="preserve">/MHz and </w:t>
      </w:r>
      <w:proofErr w:type="spellStart"/>
      <w:r w:rsidRPr="008A35B1">
        <w:rPr>
          <w:i/>
          <w:iCs/>
        </w:rPr>
        <w:t>w</w:t>
      </w:r>
      <w:r w:rsidRPr="008A35B1">
        <w:rPr>
          <w:i/>
          <w:iCs/>
          <w:vertAlign w:val="subscript"/>
        </w:rPr>
        <w:t>n</w:t>
      </w:r>
      <w:proofErr w:type="spellEnd"/>
      <w:r w:rsidRPr="008A35B1">
        <w:rPr>
          <w:i/>
          <w:iCs/>
        </w:rPr>
        <w:t xml:space="preserve"> </w:t>
      </w:r>
      <w:r w:rsidRPr="008A35B1">
        <w:rPr>
          <w:iCs/>
        </w:rPr>
        <w:t xml:space="preserve">refers to the weight for the </w:t>
      </w:r>
      <w:r w:rsidRPr="008A35B1">
        <w:rPr>
          <w:i/>
          <w:iCs/>
        </w:rPr>
        <w:t>n-</w:t>
      </w:r>
      <w:proofErr w:type="spellStart"/>
      <w:r w:rsidRPr="008A35B1">
        <w:rPr>
          <w:iCs/>
        </w:rPr>
        <w:t>th</w:t>
      </w:r>
      <w:proofErr w:type="spellEnd"/>
      <w:r w:rsidRPr="008A35B1">
        <w:rPr>
          <w:iCs/>
        </w:rPr>
        <w:t xml:space="preserve"> beamforming direction, i.e. the fraction of the steering range represented by the </w:t>
      </w:r>
      <w:r w:rsidRPr="008A35B1">
        <w:rPr>
          <w:i/>
          <w:iCs/>
        </w:rPr>
        <w:t>n-</w:t>
      </w:r>
      <w:proofErr w:type="spellStart"/>
      <w:r w:rsidRPr="008A35B1">
        <w:rPr>
          <w:iCs/>
        </w:rPr>
        <w:t>th</w:t>
      </w:r>
      <w:proofErr w:type="spellEnd"/>
      <w:r w:rsidRPr="008A35B1">
        <w:rPr>
          <w:iCs/>
        </w:rPr>
        <w:t xml:space="preserve"> beamforming direction. For example, </w:t>
      </w:r>
      <w:proofErr w:type="spellStart"/>
      <w:r w:rsidRPr="008A35B1">
        <w:rPr>
          <w:i/>
          <w:iCs/>
        </w:rPr>
        <w:t>w</w:t>
      </w:r>
      <w:r w:rsidRPr="008A35B1">
        <w:rPr>
          <w:i/>
          <w:iCs/>
          <w:vertAlign w:val="subscript"/>
        </w:rPr>
        <w:t>n</w:t>
      </w:r>
      <w:proofErr w:type="spellEnd"/>
      <w:r w:rsidRPr="008A35B1">
        <w:rPr>
          <w:i/>
          <w:iCs/>
        </w:rPr>
        <w:t xml:space="preserve"> </w:t>
      </w:r>
      <w:r w:rsidRPr="008A35B1">
        <w:rPr>
          <w:iCs/>
        </w:rPr>
        <w:t>= 1/</w:t>
      </w:r>
      <w:r w:rsidRPr="008A35B1">
        <w:rPr>
          <w:i/>
          <w:iCs/>
        </w:rPr>
        <w:t xml:space="preserve">N </w:t>
      </w:r>
      <w:r w:rsidRPr="008A35B1">
        <w:rPr>
          <w:iCs/>
        </w:rPr>
        <w:t xml:space="preserve">in the case that </w:t>
      </w:r>
      <w:r w:rsidRPr="008A35B1">
        <w:rPr>
          <w:i/>
          <w:iCs/>
        </w:rPr>
        <w:t xml:space="preserve">N </w:t>
      </w:r>
      <w:r w:rsidRPr="008A35B1">
        <w:rPr>
          <w:iCs/>
        </w:rPr>
        <w:t xml:space="preserve">uniform </w:t>
      </w:r>
      <w:proofErr w:type="spellStart"/>
      <w:r w:rsidRPr="008A35B1">
        <w:rPr>
          <w:iCs/>
        </w:rPr>
        <w:t>equispaced</w:t>
      </w:r>
      <w:proofErr w:type="spellEnd"/>
      <w:r w:rsidRPr="008A35B1">
        <w:rPr>
          <w:iCs/>
        </w:rPr>
        <w:t xml:space="preserve"> beams are assumed in the azimuth and elevation, respectively, and where each beam covers an equal range of angles.</w:t>
      </w:r>
    </w:p>
    <w:p w14:paraId="680D800D" w14:textId="4B8EB811" w:rsidR="00D63BA1" w:rsidRDefault="00D63BA1">
      <w:r>
        <w:br w:type="page"/>
      </w:r>
    </w:p>
    <w:p w14:paraId="3D384270" w14:textId="77777777" w:rsidR="00541E63" w:rsidRPr="008A35B1" w:rsidRDefault="00541E63" w:rsidP="00541E63"/>
    <w:p w14:paraId="0DBE095D" w14:textId="1D3EFC35" w:rsidR="006E32FF" w:rsidRPr="008A35B1" w:rsidRDefault="0030529D" w:rsidP="004A2054">
      <w:pPr>
        <w:pStyle w:val="Heading1"/>
        <w:ind w:left="2127" w:hanging="2127"/>
      </w:pPr>
      <w:r w:rsidRPr="008A35B1">
        <w:t xml:space="preserve">Appendix </w:t>
      </w:r>
      <w:r w:rsidR="00D06B27" w:rsidRPr="008A35B1">
        <w:t>B</w:t>
      </w:r>
      <w:r w:rsidRPr="008A35B1">
        <w:tab/>
        <w:t xml:space="preserve">SLS assumptions </w:t>
      </w:r>
      <w:r w:rsidR="006622CE" w:rsidRPr="008A35B1">
        <w:t xml:space="preserve">for </w:t>
      </w:r>
      <w:r w:rsidR="00DF2263">
        <w:t>Scheme-A</w:t>
      </w:r>
      <w:r w:rsidR="000F3275">
        <w:t xml:space="preserve"> and -B extension to </w:t>
      </w:r>
      <w:r w:rsidR="000F3275">
        <w:rPr>
          <w:rFonts w:cs="Arial"/>
        </w:rPr>
        <w:t>≤</w:t>
      </w:r>
      <w:r w:rsidR="00660898" w:rsidRPr="008A35B1">
        <w:t xml:space="preserve"> </w:t>
      </w:r>
      <w:r w:rsidR="00897D7F" w:rsidRPr="008A35B1">
        <w: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4F6736" w:rsidRPr="008A35B1"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8A35B1" w:rsidRDefault="004F6736" w:rsidP="004F6736">
            <w:pPr>
              <w:spacing w:after="0" w:line="240" w:lineRule="atLeast"/>
              <w:ind w:left="720" w:hanging="720"/>
              <w:contextualSpacing/>
              <w:rPr>
                <w:rFonts w:eastAsia="Batang"/>
              </w:rPr>
            </w:pPr>
            <w:r w:rsidRPr="008A35B1">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8A35B1" w:rsidRDefault="004F6736" w:rsidP="004F6736">
            <w:pPr>
              <w:spacing w:after="0" w:line="240" w:lineRule="atLeast"/>
              <w:ind w:left="720" w:hanging="720"/>
              <w:contextualSpacing/>
              <w:rPr>
                <w:rFonts w:eastAsia="Batang"/>
              </w:rPr>
            </w:pPr>
            <w:r w:rsidRPr="008A35B1">
              <w:rPr>
                <w:rFonts w:eastAsia="Batang"/>
                <w:b/>
                <w:bCs/>
              </w:rPr>
              <w:t>Value</w:t>
            </w:r>
          </w:p>
        </w:tc>
      </w:tr>
      <w:tr w:rsidR="004F6736" w:rsidRPr="008A35B1"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8A35B1" w:rsidRDefault="004F6736" w:rsidP="004F6736">
            <w:pPr>
              <w:spacing w:after="0" w:line="240" w:lineRule="atLeast"/>
              <w:ind w:left="720" w:hanging="720"/>
              <w:contextualSpacing/>
              <w:rPr>
                <w:rFonts w:eastAsia="Batang"/>
              </w:rPr>
            </w:pPr>
            <w:r w:rsidRPr="008A35B1">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5987EF11" w:rsidR="00D23ED2" w:rsidRPr="008A35B1" w:rsidRDefault="003C0024" w:rsidP="00D23ED2">
            <w:pPr>
              <w:spacing w:after="0" w:line="240" w:lineRule="atLeast"/>
              <w:contextualSpacing/>
              <w:rPr>
                <w:rFonts w:eastAsia="Batang" w:hAnsi="Times"/>
                <w:snapToGrid w:val="0"/>
              </w:rPr>
            </w:pPr>
            <w:proofErr w:type="spellStart"/>
            <w:r>
              <w:rPr>
                <w:rFonts w:eastAsia="Batang" w:hAnsi="Times"/>
                <w:snapToGrid w:val="0"/>
              </w:rPr>
              <w:t>UMa</w:t>
            </w:r>
            <w:proofErr w:type="spellEnd"/>
          </w:p>
          <w:p w14:paraId="230F787F" w14:textId="6B6512D4" w:rsidR="004F6736" w:rsidRPr="008A35B1" w:rsidRDefault="004F6736" w:rsidP="004F6736">
            <w:pPr>
              <w:spacing w:after="0"/>
              <w:rPr>
                <w:rFonts w:eastAsia="Batang" w:hAnsi="Times"/>
                <w:snapToGrid w:val="0"/>
              </w:rPr>
            </w:pPr>
          </w:p>
        </w:tc>
      </w:tr>
      <w:tr w:rsidR="004F6736" w:rsidRPr="008A35B1"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8A35B1" w:rsidRDefault="004F6736" w:rsidP="004F6736">
            <w:pPr>
              <w:spacing w:after="0" w:line="240" w:lineRule="atLeast"/>
              <w:ind w:left="720" w:hanging="720"/>
              <w:contextualSpacing/>
              <w:rPr>
                <w:rFonts w:eastAsia="Batang"/>
              </w:rPr>
            </w:pPr>
            <w:r w:rsidRPr="008A35B1">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5FA3BB1B" w:rsidR="004F6736" w:rsidRPr="008A35B1" w:rsidRDefault="00FF3697" w:rsidP="004F6736">
            <w:pPr>
              <w:spacing w:after="0" w:line="240" w:lineRule="atLeast"/>
              <w:ind w:left="720" w:hanging="720"/>
              <w:contextualSpacing/>
              <w:rPr>
                <w:rFonts w:eastAsia="Batang" w:hAnsi="Times"/>
                <w:snapToGrid w:val="0"/>
              </w:rPr>
            </w:pPr>
            <w:r>
              <w:rPr>
                <w:rFonts w:eastAsia="Batang" w:hAnsi="Times"/>
                <w:snapToGrid w:val="0"/>
              </w:rPr>
              <w:t>4</w:t>
            </w:r>
            <w:r w:rsidR="004F6736" w:rsidRPr="008A35B1">
              <w:rPr>
                <w:rFonts w:eastAsia="Batang" w:hAnsi="Times"/>
                <w:snapToGrid w:val="0"/>
              </w:rPr>
              <w:t>GHz</w:t>
            </w:r>
          </w:p>
        </w:tc>
      </w:tr>
      <w:tr w:rsidR="004F6736" w:rsidRPr="008A35B1"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8A35B1" w:rsidRDefault="004F6736" w:rsidP="004F6736">
            <w:pPr>
              <w:spacing w:after="0" w:line="240" w:lineRule="atLeast"/>
              <w:ind w:left="720" w:hanging="720"/>
              <w:contextualSpacing/>
              <w:rPr>
                <w:rFonts w:eastAsia="Batang"/>
              </w:rPr>
            </w:pPr>
            <w:r w:rsidRPr="008A35B1">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8A35B1" w:rsidRDefault="004F6736" w:rsidP="004F6736">
            <w:pPr>
              <w:spacing w:after="0" w:line="240" w:lineRule="atLeast"/>
              <w:ind w:left="720" w:hanging="720"/>
              <w:contextualSpacing/>
              <w:rPr>
                <w:rFonts w:eastAsia="Batang" w:hAnsi="Times"/>
                <w:b/>
                <w:snapToGrid w:val="0"/>
              </w:rPr>
            </w:pPr>
            <w:r w:rsidRPr="008A35B1">
              <w:rPr>
                <w:rFonts w:eastAsia="Batang" w:hAnsi="Times"/>
                <w:snapToGrid w:val="0"/>
              </w:rPr>
              <w:t xml:space="preserve">200m </w:t>
            </w:r>
          </w:p>
        </w:tc>
      </w:tr>
      <w:tr w:rsidR="004F6736" w:rsidRPr="008A35B1"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8A35B1" w:rsidRDefault="004F6736" w:rsidP="004F6736">
            <w:pPr>
              <w:spacing w:after="0" w:line="240" w:lineRule="atLeast"/>
              <w:contextualSpacing/>
              <w:rPr>
                <w:rFonts w:eastAsia="Batang"/>
              </w:rPr>
            </w:pPr>
            <w:r w:rsidRPr="008A35B1">
              <w:rPr>
                <w:rFonts w:eastAsia="Batang"/>
              </w:rPr>
              <w:t xml:space="preserve">Antenna setup and port layouts at </w:t>
            </w:r>
            <w:proofErr w:type="spellStart"/>
            <w:r w:rsidRPr="008A35B1">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8A35B1"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8A35B1">
              <w:rPr>
                <w:rFonts w:ascii="Times" w:eastAsia="Batang" w:hAnsi="Times"/>
                <w:snapToGrid w:val="0"/>
                <w:lang w:eastAsia="x-none"/>
              </w:rPr>
              <w:t xml:space="preserve">32 ports: </w:t>
            </w:r>
            <w:r w:rsidR="00E210E3" w:rsidRPr="008A35B1">
              <w:rPr>
                <w:rFonts w:eastAsia="Calibri"/>
                <w:kern w:val="24"/>
                <w:lang w:eastAsia="en-GB"/>
              </w:rPr>
              <w:t>(</w:t>
            </w:r>
            <w:proofErr w:type="spellStart"/>
            <w:r w:rsidR="00E210E3" w:rsidRPr="008A35B1">
              <w:rPr>
                <w:rFonts w:eastAsia="Calibri"/>
                <w:kern w:val="24"/>
                <w:lang w:eastAsia="en-GB"/>
              </w:rPr>
              <w:t>M,N,P,Mg,Ng,Mp,Np</w:t>
            </w:r>
            <w:proofErr w:type="spellEnd"/>
            <w:r w:rsidR="00E210E3" w:rsidRPr="008A35B1">
              <w:rPr>
                <w:rFonts w:eastAsia="Calibri"/>
                <w:kern w:val="24"/>
                <w:lang w:eastAsia="en-GB"/>
              </w:rPr>
              <w:t>) =</w:t>
            </w:r>
            <w:r w:rsidRPr="008A35B1">
              <w:rPr>
                <w:rFonts w:ascii="Times" w:eastAsia="Batang" w:hAnsi="Times"/>
                <w:snapToGrid w:val="0"/>
                <w:lang w:eastAsia="x-none"/>
              </w:rPr>
              <w:t>(8,8,2,1,1,2,8), (</w:t>
            </w:r>
            <w:proofErr w:type="spellStart"/>
            <w:r w:rsidRPr="008A35B1">
              <w:rPr>
                <w:rFonts w:ascii="Times" w:eastAsia="Batang" w:hAnsi="Times"/>
                <w:snapToGrid w:val="0"/>
                <w:lang w:eastAsia="x-none"/>
              </w:rPr>
              <w:t>dH,dV</w:t>
            </w:r>
            <w:proofErr w:type="spellEnd"/>
            <w:r w:rsidRPr="008A35B1">
              <w:rPr>
                <w:rFonts w:ascii="Times" w:eastAsia="Batang" w:hAnsi="Times"/>
                <w:snapToGrid w:val="0"/>
                <w:lang w:eastAsia="x-none"/>
              </w:rPr>
              <w:t xml:space="preserve">) = (0.5, 0.8)λ </w:t>
            </w:r>
          </w:p>
          <w:p w14:paraId="685C3697" w14:textId="2A7EB316" w:rsidR="004F6736" w:rsidRPr="00F56012" w:rsidRDefault="000531A3" w:rsidP="00F56012">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Pr>
                <w:rFonts w:ascii="Times" w:eastAsia="Batang" w:hAnsi="Times"/>
                <w:snapToGrid w:val="0"/>
                <w:lang w:eastAsia="x-none"/>
              </w:rPr>
              <w:t>16</w:t>
            </w:r>
            <w:r w:rsidR="004F6736" w:rsidRPr="008A35B1">
              <w:rPr>
                <w:rFonts w:ascii="Times" w:eastAsia="Batang" w:hAnsi="Times"/>
                <w:snapToGrid w:val="0"/>
                <w:lang w:eastAsia="x-none"/>
              </w:rPr>
              <w:t xml:space="preserve"> ports: </w:t>
            </w:r>
            <w:r w:rsidR="00C53EF8" w:rsidRPr="008A35B1">
              <w:rPr>
                <w:rFonts w:eastAsia="Calibri"/>
                <w:kern w:val="24"/>
                <w:lang w:eastAsia="en-GB"/>
              </w:rPr>
              <w:t>(</w:t>
            </w:r>
            <w:proofErr w:type="spellStart"/>
            <w:r w:rsidR="00C53EF8" w:rsidRPr="008A35B1">
              <w:rPr>
                <w:rFonts w:eastAsia="Calibri"/>
                <w:kern w:val="24"/>
                <w:lang w:eastAsia="en-GB"/>
              </w:rPr>
              <w:t>M,N,P,Mg,Ng,Mp,Np</w:t>
            </w:r>
            <w:proofErr w:type="spellEnd"/>
            <w:r w:rsidR="00C53EF8" w:rsidRPr="008A35B1">
              <w:rPr>
                <w:rFonts w:eastAsia="Calibri"/>
                <w:kern w:val="24"/>
                <w:lang w:eastAsia="en-GB"/>
              </w:rPr>
              <w:t>) =</w:t>
            </w:r>
            <w:r w:rsidR="004F6736" w:rsidRPr="008A35B1">
              <w:rPr>
                <w:rFonts w:ascii="Times" w:eastAsia="Batang" w:hAnsi="Times"/>
                <w:snapToGrid w:val="0"/>
                <w:lang w:eastAsia="x-none"/>
              </w:rPr>
              <w:t>(</w:t>
            </w:r>
            <w:r w:rsidR="00C20D6D" w:rsidRPr="008A35B1">
              <w:rPr>
                <w:rFonts w:ascii="Times" w:eastAsia="Batang" w:hAnsi="Times"/>
                <w:snapToGrid w:val="0"/>
                <w:lang w:eastAsia="x-none"/>
              </w:rPr>
              <w:t>8</w:t>
            </w:r>
            <w:r w:rsidR="004F6736" w:rsidRPr="008A35B1">
              <w:rPr>
                <w:rFonts w:ascii="Times" w:eastAsia="Batang" w:hAnsi="Times"/>
                <w:snapToGrid w:val="0"/>
                <w:lang w:eastAsia="x-none"/>
              </w:rPr>
              <w:t>,</w:t>
            </w:r>
            <w:r w:rsidR="00C20D6D" w:rsidRPr="008A35B1">
              <w:rPr>
                <w:rFonts w:ascii="Times" w:eastAsia="Batang" w:hAnsi="Times"/>
                <w:snapToGrid w:val="0"/>
                <w:lang w:eastAsia="x-none"/>
              </w:rPr>
              <w:t>8</w:t>
            </w:r>
            <w:r w:rsidR="004F6736" w:rsidRPr="008A35B1">
              <w:rPr>
                <w:rFonts w:ascii="Times" w:eastAsia="Batang" w:hAnsi="Times"/>
                <w:snapToGrid w:val="0"/>
                <w:lang w:eastAsia="x-none"/>
              </w:rPr>
              <w:t>,2,1,1,</w:t>
            </w:r>
            <w:r w:rsidR="002F37B8">
              <w:rPr>
                <w:rFonts w:ascii="Times" w:eastAsia="Batang" w:hAnsi="Times"/>
                <w:snapToGrid w:val="0"/>
                <w:lang w:eastAsia="x-none"/>
              </w:rPr>
              <w:t>2</w:t>
            </w:r>
            <w:r w:rsidR="004F6736" w:rsidRPr="008A35B1">
              <w:rPr>
                <w:rFonts w:ascii="Times" w:eastAsia="Batang" w:hAnsi="Times"/>
                <w:snapToGrid w:val="0"/>
                <w:lang w:eastAsia="x-none"/>
              </w:rPr>
              <w:t>,</w:t>
            </w:r>
            <w:r w:rsidR="002F37B8">
              <w:rPr>
                <w:rFonts w:ascii="Times" w:eastAsia="Batang" w:hAnsi="Times"/>
                <w:snapToGrid w:val="0"/>
                <w:lang w:eastAsia="x-none"/>
              </w:rPr>
              <w:t>4</w:t>
            </w:r>
            <w:r w:rsidR="004F6736" w:rsidRPr="008A35B1">
              <w:rPr>
                <w:rFonts w:ascii="Times" w:eastAsia="Batang" w:hAnsi="Times"/>
                <w:snapToGrid w:val="0"/>
                <w:lang w:eastAsia="x-none"/>
              </w:rPr>
              <w:t>), (</w:t>
            </w:r>
            <w:proofErr w:type="spellStart"/>
            <w:r w:rsidR="004F6736" w:rsidRPr="008A35B1">
              <w:rPr>
                <w:rFonts w:ascii="Times" w:eastAsia="Batang" w:hAnsi="Times"/>
                <w:snapToGrid w:val="0"/>
                <w:lang w:eastAsia="x-none"/>
              </w:rPr>
              <w:t>dH,dV</w:t>
            </w:r>
            <w:proofErr w:type="spellEnd"/>
            <w:r w:rsidR="004F6736" w:rsidRPr="008A35B1">
              <w:rPr>
                <w:rFonts w:ascii="Times" w:eastAsia="Batang" w:hAnsi="Times"/>
                <w:snapToGrid w:val="0"/>
                <w:lang w:eastAsia="x-none"/>
              </w:rPr>
              <w:t>) = (0.5, 0.8)λ</w:t>
            </w:r>
          </w:p>
        </w:tc>
      </w:tr>
      <w:tr w:rsidR="004F6736" w:rsidRPr="008A35B1"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8A35B1" w:rsidRDefault="004F6736" w:rsidP="004F6736">
            <w:pPr>
              <w:spacing w:after="0" w:line="240" w:lineRule="atLeast"/>
              <w:contextualSpacing/>
              <w:rPr>
                <w:rFonts w:eastAsia="Batang"/>
              </w:rPr>
            </w:pPr>
            <w:r w:rsidRPr="008A35B1">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0AC1BD85" w:rsidR="004F6736" w:rsidRPr="008A35B1" w:rsidRDefault="0019256A" w:rsidP="004F6736">
            <w:pPr>
              <w:spacing w:after="0" w:line="240" w:lineRule="atLeast"/>
              <w:contextualSpacing/>
              <w:rPr>
                <w:rFonts w:eastAsia="Batang" w:hAnsi="Times"/>
                <w:snapToGrid w:val="0"/>
              </w:rPr>
            </w:pPr>
            <w:r>
              <w:rPr>
                <w:rFonts w:eastAsia="Batang" w:hAnsi="Times"/>
                <w:snapToGrid w:val="0"/>
              </w:rPr>
              <w:t>8</w:t>
            </w:r>
            <w:r w:rsidR="004F6736" w:rsidRPr="008A35B1">
              <w:rPr>
                <w:rFonts w:eastAsia="Batang" w:hAnsi="Times"/>
                <w:snapToGrid w:val="0"/>
              </w:rPr>
              <w:t>RX: (1,</w:t>
            </w:r>
            <w:r w:rsidR="007632FD">
              <w:rPr>
                <w:rFonts w:eastAsia="Batang" w:hAnsi="Times"/>
                <w:snapToGrid w:val="0"/>
              </w:rPr>
              <w:t>4</w:t>
            </w:r>
            <w:r w:rsidR="004F6736" w:rsidRPr="008A35B1">
              <w:rPr>
                <w:rFonts w:eastAsia="Batang" w:hAnsi="Times"/>
                <w:snapToGrid w:val="0"/>
              </w:rPr>
              <w:t>,2), (</w:t>
            </w:r>
            <w:proofErr w:type="spellStart"/>
            <w:r w:rsidR="004F6736" w:rsidRPr="008A35B1">
              <w:rPr>
                <w:rFonts w:eastAsia="Batang" w:hAnsi="Times"/>
                <w:snapToGrid w:val="0"/>
              </w:rPr>
              <w:t>dH,dV</w:t>
            </w:r>
            <w:proofErr w:type="spellEnd"/>
            <w:r w:rsidR="004F6736" w:rsidRPr="008A35B1">
              <w:rPr>
                <w:rFonts w:eastAsia="Batang" w:hAnsi="Times"/>
                <w:snapToGrid w:val="0"/>
              </w:rPr>
              <w:t>) = (0.5, 0.5)</w:t>
            </w:r>
            <w:r w:rsidR="004F6736" w:rsidRPr="008A35B1">
              <w:rPr>
                <w:rFonts w:eastAsia="Batang" w:hAnsi="Times"/>
                <w:snapToGrid w:val="0"/>
              </w:rPr>
              <w:t>λ</w:t>
            </w:r>
          </w:p>
          <w:p w14:paraId="4B2DF6D8" w14:textId="5194F8C7" w:rsidR="004F6736" w:rsidRPr="008A35B1" w:rsidRDefault="004F6736" w:rsidP="004F6736">
            <w:pPr>
              <w:spacing w:after="0" w:line="240" w:lineRule="atLeast"/>
              <w:contextualSpacing/>
              <w:rPr>
                <w:rFonts w:eastAsia="Batang" w:hAnsi="Times"/>
                <w:snapToGrid w:val="0"/>
              </w:rPr>
            </w:pPr>
          </w:p>
        </w:tc>
      </w:tr>
      <w:tr w:rsidR="004F6736" w:rsidRPr="008A35B1"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8A35B1" w:rsidRDefault="004F6736" w:rsidP="004F6736">
            <w:pPr>
              <w:spacing w:after="0" w:line="240" w:lineRule="atLeast"/>
              <w:contextualSpacing/>
              <w:rPr>
                <w:rFonts w:eastAsia="Batang"/>
              </w:rPr>
            </w:pPr>
            <w:r w:rsidRPr="008A35B1">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8A35B1" w:rsidRDefault="004F6736" w:rsidP="004F6736">
            <w:pPr>
              <w:spacing w:after="0" w:line="240" w:lineRule="atLeast"/>
              <w:contextualSpacing/>
              <w:rPr>
                <w:rFonts w:eastAsia="Batang" w:hAnsi="Times"/>
                <w:snapToGrid w:val="0"/>
              </w:rPr>
            </w:pPr>
            <w:r w:rsidRPr="008A35B1">
              <w:rPr>
                <w:rFonts w:eastAsia="Batang" w:hAnsi="Times"/>
                <w:snapToGrid w:val="0"/>
              </w:rPr>
              <w:t>41 dBm</w:t>
            </w:r>
          </w:p>
        </w:tc>
      </w:tr>
      <w:tr w:rsidR="004F6736" w:rsidRPr="008A35B1"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8A35B1" w:rsidRDefault="004F6736" w:rsidP="004F6736">
            <w:pPr>
              <w:spacing w:after="0" w:line="240" w:lineRule="atLeast"/>
              <w:contextualSpacing/>
              <w:rPr>
                <w:rFonts w:eastAsia="Batang"/>
              </w:rPr>
            </w:pPr>
            <w:r w:rsidRPr="008A35B1">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8A35B1" w:rsidRDefault="004F6736" w:rsidP="004F6736">
            <w:pPr>
              <w:spacing w:after="0" w:line="240" w:lineRule="atLeast"/>
              <w:contextualSpacing/>
              <w:rPr>
                <w:rFonts w:eastAsia="Batang" w:hAnsi="Times"/>
                <w:snapToGrid w:val="0"/>
              </w:rPr>
            </w:pPr>
            <w:r w:rsidRPr="008A35B1">
              <w:rPr>
                <w:rFonts w:eastAsia="Batang" w:hAnsi="Times"/>
                <w:snapToGrid w:val="0"/>
              </w:rPr>
              <w:t xml:space="preserve">25m </w:t>
            </w:r>
          </w:p>
        </w:tc>
      </w:tr>
      <w:tr w:rsidR="0014162A" w:rsidRPr="008A35B1"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8A35B1" w:rsidRDefault="0014162A" w:rsidP="00B82152">
            <w:pPr>
              <w:spacing w:after="0" w:line="240" w:lineRule="atLeast"/>
              <w:ind w:leftChars="54" w:left="108"/>
              <w:contextualSpacing/>
              <w:rPr>
                <w:rFonts w:eastAsia="Batang"/>
              </w:rPr>
            </w:pPr>
            <w:r w:rsidRPr="008A35B1">
              <w:rPr>
                <w:rFonts w:eastAsia="Batang"/>
              </w:rPr>
              <w:t>SCS</w:t>
            </w:r>
            <w:r w:rsidR="009F371C" w:rsidRPr="008A35B1">
              <w:rPr>
                <w:rFonts w:eastAsia="Batang"/>
              </w:rPr>
              <w:t>/Number of RBs</w:t>
            </w:r>
            <w:r w:rsidR="00B82152" w:rsidRPr="008A35B1">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8A35B1" w:rsidRDefault="0014162A" w:rsidP="004F6736">
            <w:pPr>
              <w:spacing w:after="0" w:line="240" w:lineRule="atLeast"/>
              <w:ind w:left="720" w:hanging="720"/>
              <w:contextualSpacing/>
              <w:rPr>
                <w:rFonts w:eastAsia="Batang"/>
                <w:bCs/>
                <w:lang w:eastAsia="zh-CN"/>
              </w:rPr>
            </w:pPr>
            <w:r w:rsidRPr="008A35B1">
              <w:rPr>
                <w:rFonts w:eastAsia="Batang"/>
                <w:bCs/>
              </w:rPr>
              <w:t>15kHz</w:t>
            </w:r>
            <w:r w:rsidR="00B82152" w:rsidRPr="008A35B1">
              <w:rPr>
                <w:rFonts w:eastAsia="Batang"/>
                <w:bCs/>
              </w:rPr>
              <w:t>/52</w:t>
            </w:r>
            <w:r w:rsidR="00587C88" w:rsidRPr="008A35B1">
              <w:rPr>
                <w:rFonts w:eastAsia="Batang"/>
                <w:bCs/>
              </w:rPr>
              <w:t>/</w:t>
            </w:r>
            <w:r w:rsidR="006D6FCB" w:rsidRPr="008A35B1">
              <w:rPr>
                <w:rFonts w:eastAsia="Batang"/>
                <w:bCs/>
              </w:rPr>
              <w:t>10MHz</w:t>
            </w:r>
          </w:p>
        </w:tc>
      </w:tr>
      <w:tr w:rsidR="004F6736" w:rsidRPr="008A35B1"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8A35B1" w:rsidRDefault="004F6736" w:rsidP="004F6736">
            <w:pPr>
              <w:spacing w:after="0" w:line="240" w:lineRule="atLeast"/>
              <w:ind w:left="720" w:hanging="720"/>
              <w:contextualSpacing/>
              <w:rPr>
                <w:rFonts w:eastAsia="Batang"/>
              </w:rPr>
            </w:pPr>
            <w:r w:rsidRPr="008A35B1">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8A35B1" w:rsidRDefault="003E5F4E" w:rsidP="006D6FCB">
            <w:pPr>
              <w:spacing w:after="0" w:line="240" w:lineRule="atLeast"/>
              <w:contextualSpacing/>
              <w:rPr>
                <w:rFonts w:eastAsia="Batang"/>
                <w:lang w:eastAsia="zh-CN"/>
              </w:rPr>
            </w:pPr>
            <w:r w:rsidRPr="008A35B1">
              <w:rPr>
                <w:rFonts w:eastAsia="Batang" w:hAnsi="Times"/>
                <w:snapToGrid w:val="0"/>
              </w:rPr>
              <w:t>S</w:t>
            </w:r>
            <w:r w:rsidR="004F6736" w:rsidRPr="008A35B1">
              <w:rPr>
                <w:rFonts w:eastAsia="Batang" w:hAnsi="Times"/>
                <w:snapToGrid w:val="0"/>
              </w:rPr>
              <w:t>U-MIMO</w:t>
            </w:r>
            <w:r w:rsidR="00955137" w:rsidRPr="008A35B1">
              <w:rPr>
                <w:rFonts w:eastAsia="Batang" w:hAnsi="Times"/>
                <w:snapToGrid w:val="0"/>
              </w:rPr>
              <w:t xml:space="preserve">, max rank </w:t>
            </w:r>
            <w:r w:rsidRPr="008A35B1">
              <w:rPr>
                <w:rFonts w:eastAsia="Batang" w:hAnsi="Times"/>
                <w:snapToGrid w:val="0"/>
              </w:rPr>
              <w:t>8</w:t>
            </w:r>
          </w:p>
          <w:p w14:paraId="34E0BD84" w14:textId="0D025CBE" w:rsidR="004F6736" w:rsidRPr="008A35B1" w:rsidRDefault="004F6736" w:rsidP="004F6736">
            <w:pPr>
              <w:spacing w:after="0" w:line="240" w:lineRule="atLeast"/>
              <w:contextualSpacing/>
              <w:rPr>
                <w:rFonts w:eastAsia="Batang"/>
                <w:lang w:eastAsia="zh-CN"/>
              </w:rPr>
            </w:pPr>
          </w:p>
        </w:tc>
      </w:tr>
      <w:tr w:rsidR="004F6736" w:rsidRPr="008A35B1"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8A35B1" w:rsidRDefault="004F6736" w:rsidP="004F6736">
            <w:pPr>
              <w:spacing w:after="0" w:line="240" w:lineRule="atLeast"/>
              <w:ind w:leftChars="68" w:left="856" w:hanging="720"/>
              <w:contextualSpacing/>
              <w:rPr>
                <w:rFonts w:eastAsia="Malgun Gothic"/>
                <w:kern w:val="24"/>
                <w:lang w:eastAsia="ko-KR"/>
              </w:rPr>
            </w:pPr>
            <w:r w:rsidRPr="008A35B1">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8A35B1" w:rsidRDefault="004F6736" w:rsidP="00DE6FDC">
            <w:pPr>
              <w:spacing w:after="0" w:line="240" w:lineRule="atLeast"/>
              <w:ind w:left="720" w:hanging="720"/>
              <w:contextualSpacing/>
              <w:rPr>
                <w:rFonts w:eastAsia="Malgun Gothic"/>
                <w:kern w:val="24"/>
                <w:lang w:eastAsia="ko-KR"/>
              </w:rPr>
            </w:pPr>
            <w:r w:rsidRPr="008A35B1">
              <w:rPr>
                <w:rFonts w:eastAsia="Malgun Gothic"/>
                <w:kern w:val="24"/>
                <w:lang w:eastAsia="ko-KR"/>
              </w:rPr>
              <w:t xml:space="preserve">FTP model 1 with packet size </w:t>
            </w:r>
            <w:r w:rsidR="00C07AB7" w:rsidRPr="008A35B1">
              <w:rPr>
                <w:rFonts w:eastAsia="Malgun Gothic"/>
                <w:kern w:val="24"/>
                <w:lang w:eastAsia="ko-KR"/>
              </w:rPr>
              <w:t>2</w:t>
            </w:r>
            <w:r w:rsidRPr="008A35B1">
              <w:rPr>
                <w:rFonts w:eastAsia="Malgun Gothic"/>
                <w:kern w:val="24"/>
                <w:lang w:eastAsia="ko-KR"/>
              </w:rPr>
              <w:t xml:space="preserve"> Mbytes</w:t>
            </w:r>
          </w:p>
        </w:tc>
      </w:tr>
      <w:tr w:rsidR="004F6736" w:rsidRPr="008A35B1"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8A35B1" w:rsidRDefault="004F6736" w:rsidP="004F6736">
            <w:pPr>
              <w:spacing w:after="0" w:line="240" w:lineRule="atLeast"/>
              <w:ind w:leftChars="68" w:left="856" w:hanging="720"/>
              <w:contextualSpacing/>
              <w:rPr>
                <w:rFonts w:eastAsia="Malgun Gothic"/>
                <w:kern w:val="24"/>
                <w:lang w:eastAsia="ko-KR"/>
              </w:rPr>
            </w:pPr>
            <w:r w:rsidRPr="008A35B1">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1CA82DA8" w:rsidR="004F6736" w:rsidRPr="008A35B1" w:rsidRDefault="00C07AB7" w:rsidP="004F6736">
            <w:pPr>
              <w:spacing w:after="0" w:line="240" w:lineRule="atLeast"/>
              <w:ind w:left="720" w:hanging="720"/>
              <w:contextualSpacing/>
              <w:rPr>
                <w:rFonts w:eastAsia="Batang"/>
                <w:kern w:val="24"/>
              </w:rPr>
            </w:pPr>
            <w:r w:rsidRPr="008A35B1">
              <w:rPr>
                <w:rFonts w:eastAsia="Batang"/>
                <w:kern w:val="24"/>
              </w:rPr>
              <w:t>30%</w:t>
            </w:r>
          </w:p>
        </w:tc>
      </w:tr>
      <w:tr w:rsidR="004F6736" w:rsidRPr="008A35B1"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8A35B1" w:rsidRDefault="004F6736" w:rsidP="004F6736">
            <w:pPr>
              <w:spacing w:after="0" w:line="240" w:lineRule="atLeast"/>
              <w:ind w:leftChars="68" w:left="856" w:hanging="720"/>
              <w:contextualSpacing/>
              <w:rPr>
                <w:rFonts w:eastAsia="Malgun Gothic"/>
                <w:kern w:val="24"/>
                <w:lang w:eastAsia="ko-KR"/>
              </w:rPr>
            </w:pPr>
            <w:r w:rsidRPr="008A35B1">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8A35B1" w:rsidRDefault="004F6736" w:rsidP="00603673">
            <w:pPr>
              <w:spacing w:after="0" w:line="240" w:lineRule="atLeast"/>
              <w:contextualSpacing/>
              <w:rPr>
                <w:rFonts w:eastAsia="Malgun Gothic"/>
                <w:kern w:val="24"/>
                <w:lang w:eastAsia="ko-KR"/>
              </w:rPr>
            </w:pPr>
            <w:r w:rsidRPr="008A35B1">
              <w:rPr>
                <w:rFonts w:eastAsia="Malgun Gothic"/>
                <w:kern w:val="24"/>
                <w:lang w:eastAsia="ko-KR"/>
              </w:rPr>
              <w:t xml:space="preserve">80% indoor (3km/h), 20% outdoor (30km/h) </w:t>
            </w:r>
          </w:p>
        </w:tc>
      </w:tr>
      <w:tr w:rsidR="004F6736" w:rsidRPr="008A35B1"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8A35B1" w:rsidRDefault="004F6736" w:rsidP="004F6736">
            <w:pPr>
              <w:spacing w:after="0" w:line="240" w:lineRule="atLeast"/>
              <w:ind w:leftChars="68" w:left="856" w:hanging="720"/>
              <w:contextualSpacing/>
              <w:rPr>
                <w:rFonts w:eastAsia="Malgun Gothic"/>
                <w:kern w:val="24"/>
                <w:lang w:eastAsia="ko-KR"/>
              </w:rPr>
            </w:pPr>
            <w:r w:rsidRPr="008A35B1">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8A35B1" w:rsidRDefault="004F6736" w:rsidP="004F6736">
            <w:pPr>
              <w:spacing w:after="0" w:line="240" w:lineRule="atLeast"/>
              <w:contextualSpacing/>
              <w:rPr>
                <w:rFonts w:eastAsia="Malgun Gothic"/>
                <w:kern w:val="24"/>
                <w:lang w:eastAsia="ko-KR"/>
              </w:rPr>
            </w:pPr>
            <w:r w:rsidRPr="008A35B1">
              <w:rPr>
                <w:rFonts w:eastAsia="Malgun Gothic"/>
                <w:kern w:val="24"/>
                <w:lang w:eastAsia="ko-KR"/>
              </w:rPr>
              <w:t>Realistic</w:t>
            </w:r>
          </w:p>
        </w:tc>
      </w:tr>
      <w:tr w:rsidR="004F6736" w:rsidRPr="008A35B1"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8A35B1" w:rsidRDefault="004F6736" w:rsidP="004F6736">
            <w:pPr>
              <w:spacing w:after="0" w:line="240" w:lineRule="atLeast"/>
              <w:ind w:leftChars="68" w:left="856" w:hanging="720"/>
              <w:contextualSpacing/>
              <w:rPr>
                <w:rFonts w:eastAsia="Malgun Gothic"/>
                <w:kern w:val="24"/>
                <w:lang w:eastAsia="ko-KR"/>
              </w:rPr>
            </w:pPr>
            <w:r w:rsidRPr="008A35B1">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8A35B1" w:rsidRDefault="004F6736" w:rsidP="004F6736">
            <w:pPr>
              <w:spacing w:after="0" w:line="240" w:lineRule="atLeast"/>
              <w:contextualSpacing/>
              <w:rPr>
                <w:rFonts w:eastAsia="Malgun Gothic"/>
                <w:kern w:val="24"/>
                <w:lang w:eastAsia="ko-KR"/>
              </w:rPr>
            </w:pPr>
            <w:r w:rsidRPr="008A35B1">
              <w:rPr>
                <w:rFonts w:eastAsia="Malgun Gothic"/>
                <w:kern w:val="24"/>
                <w:lang w:eastAsia="ko-KR"/>
              </w:rPr>
              <w:t>Realistic</w:t>
            </w:r>
          </w:p>
        </w:tc>
      </w:tr>
    </w:tbl>
    <w:p w14:paraId="74114238" w14:textId="77777777" w:rsidR="0060796A" w:rsidRPr="008A35B1" w:rsidRDefault="0060796A" w:rsidP="0060796A"/>
    <w:bookmarkEnd w:id="0"/>
    <w:p w14:paraId="3AD34F89" w14:textId="0997AACE" w:rsidR="007233A9" w:rsidRPr="008A35B1" w:rsidRDefault="007233A9">
      <w:pPr>
        <w:rPr>
          <w:rFonts w:ascii="Arial" w:hAnsi="Arial"/>
          <w:sz w:val="36"/>
        </w:rPr>
      </w:pPr>
    </w:p>
    <w:sectPr w:rsidR="007233A9" w:rsidRPr="008A35B1"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00713" w14:textId="77777777" w:rsidR="00483D1C" w:rsidRDefault="00483D1C" w:rsidP="00D872F1">
      <w:pPr>
        <w:spacing w:after="0"/>
      </w:pPr>
      <w:r>
        <w:separator/>
      </w:r>
    </w:p>
  </w:endnote>
  <w:endnote w:type="continuationSeparator" w:id="0">
    <w:p w14:paraId="31D5C694" w14:textId="77777777" w:rsidR="00483D1C" w:rsidRDefault="00483D1C" w:rsidP="00D872F1">
      <w:pPr>
        <w:spacing w:after="0"/>
      </w:pPr>
      <w:r>
        <w:continuationSeparator/>
      </w:r>
    </w:p>
  </w:endnote>
  <w:endnote w:type="continuationNotice" w:id="1">
    <w:p w14:paraId="560B2E35" w14:textId="77777777" w:rsidR="00483D1C" w:rsidRDefault="00483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charset w:val="00"/>
    <w:family w:val="swiss"/>
    <w:pitch w:val="variable"/>
    <w:sig w:usb0="A00002FF" w:usb1="700078FB" w:usb2="00010000" w:usb3="00000000" w:csb0="0000019F" w:csb1="00000000"/>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7856C" w14:textId="77777777" w:rsidR="00483D1C" w:rsidRDefault="00483D1C" w:rsidP="00D872F1">
      <w:pPr>
        <w:spacing w:after="0"/>
      </w:pPr>
      <w:r>
        <w:separator/>
      </w:r>
    </w:p>
  </w:footnote>
  <w:footnote w:type="continuationSeparator" w:id="0">
    <w:p w14:paraId="0EE86B10" w14:textId="77777777" w:rsidR="00483D1C" w:rsidRDefault="00483D1C" w:rsidP="00D872F1">
      <w:pPr>
        <w:spacing w:after="0"/>
      </w:pPr>
      <w:r>
        <w:continuationSeparator/>
      </w:r>
    </w:p>
  </w:footnote>
  <w:footnote w:type="continuationNotice" w:id="1">
    <w:p w14:paraId="4DE1BF43" w14:textId="77777777" w:rsidR="00483D1C" w:rsidRDefault="00483D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hybridMultilevel"/>
    <w:tmpl w:val="B270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8259E"/>
    <w:multiLevelType w:val="hybridMultilevel"/>
    <w:tmpl w:val="3A0C60CA"/>
    <w:lvl w:ilvl="0" w:tplc="48789A4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65F10"/>
    <w:multiLevelType w:val="hybridMultilevel"/>
    <w:tmpl w:val="507AB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926DE"/>
    <w:multiLevelType w:val="hybridMultilevel"/>
    <w:tmpl w:val="B8621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E5746"/>
    <w:multiLevelType w:val="hybridMultilevel"/>
    <w:tmpl w:val="B8B8E78A"/>
    <w:lvl w:ilvl="0" w:tplc="411065AE">
      <w:start w:val="1"/>
      <w:numFmt w:val="bullet"/>
      <w:lvlText w:val="–"/>
      <w:lvlJc w:val="left"/>
      <w:pPr>
        <w:ind w:left="877" w:hanging="267"/>
      </w:pPr>
      <w:rPr>
        <w:rFonts w:ascii="Times New Roman" w:eastAsia="Times New Roman" w:hAnsi="Times New Roman" w:hint="default"/>
        <w:color w:val="231F20"/>
        <w:w w:val="99"/>
        <w:sz w:val="19"/>
        <w:szCs w:val="19"/>
      </w:rPr>
    </w:lvl>
    <w:lvl w:ilvl="1" w:tplc="28ACC714">
      <w:start w:val="1"/>
      <w:numFmt w:val="bullet"/>
      <w:lvlText w:val="•"/>
      <w:lvlJc w:val="left"/>
      <w:pPr>
        <w:ind w:left="1717" w:hanging="267"/>
      </w:pPr>
      <w:rPr>
        <w:rFonts w:hint="default"/>
      </w:rPr>
    </w:lvl>
    <w:lvl w:ilvl="2" w:tplc="C8282D52">
      <w:start w:val="1"/>
      <w:numFmt w:val="bullet"/>
      <w:lvlText w:val="•"/>
      <w:lvlJc w:val="left"/>
      <w:pPr>
        <w:ind w:left="2557" w:hanging="267"/>
      </w:pPr>
      <w:rPr>
        <w:rFonts w:hint="default"/>
      </w:rPr>
    </w:lvl>
    <w:lvl w:ilvl="3" w:tplc="EC32FE18">
      <w:start w:val="1"/>
      <w:numFmt w:val="bullet"/>
      <w:lvlText w:val="•"/>
      <w:lvlJc w:val="left"/>
      <w:pPr>
        <w:ind w:left="3398" w:hanging="267"/>
      </w:pPr>
      <w:rPr>
        <w:rFonts w:hint="default"/>
      </w:rPr>
    </w:lvl>
    <w:lvl w:ilvl="4" w:tplc="A3BAA726">
      <w:start w:val="1"/>
      <w:numFmt w:val="bullet"/>
      <w:lvlText w:val="•"/>
      <w:lvlJc w:val="left"/>
      <w:pPr>
        <w:ind w:left="4238" w:hanging="267"/>
      </w:pPr>
      <w:rPr>
        <w:rFonts w:hint="default"/>
      </w:rPr>
    </w:lvl>
    <w:lvl w:ilvl="5" w:tplc="C66A62D8">
      <w:start w:val="1"/>
      <w:numFmt w:val="bullet"/>
      <w:lvlText w:val="•"/>
      <w:lvlJc w:val="left"/>
      <w:pPr>
        <w:ind w:left="5078" w:hanging="267"/>
      </w:pPr>
      <w:rPr>
        <w:rFonts w:hint="default"/>
      </w:rPr>
    </w:lvl>
    <w:lvl w:ilvl="6" w:tplc="88C68242">
      <w:start w:val="1"/>
      <w:numFmt w:val="bullet"/>
      <w:lvlText w:val="•"/>
      <w:lvlJc w:val="left"/>
      <w:pPr>
        <w:ind w:left="5918" w:hanging="267"/>
      </w:pPr>
      <w:rPr>
        <w:rFonts w:hint="default"/>
      </w:rPr>
    </w:lvl>
    <w:lvl w:ilvl="7" w:tplc="97AADF8E">
      <w:start w:val="1"/>
      <w:numFmt w:val="bullet"/>
      <w:lvlText w:val="•"/>
      <w:lvlJc w:val="left"/>
      <w:pPr>
        <w:ind w:left="6759" w:hanging="267"/>
      </w:pPr>
      <w:rPr>
        <w:rFonts w:hint="default"/>
      </w:rPr>
    </w:lvl>
    <w:lvl w:ilvl="8" w:tplc="06B6EA18">
      <w:start w:val="1"/>
      <w:numFmt w:val="bullet"/>
      <w:lvlText w:val="•"/>
      <w:lvlJc w:val="left"/>
      <w:pPr>
        <w:ind w:left="7599" w:hanging="267"/>
      </w:pPr>
      <w:rPr>
        <w:rFonts w:hint="default"/>
      </w:rPr>
    </w:lvl>
  </w:abstractNum>
  <w:abstractNum w:abstractNumId="7" w15:restartNumberingAfterBreak="0">
    <w:nsid w:val="138D4618"/>
    <w:multiLevelType w:val="hybridMultilevel"/>
    <w:tmpl w:val="9F06381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96334"/>
    <w:multiLevelType w:val="hybridMultilevel"/>
    <w:tmpl w:val="14102A4E"/>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4C5F45"/>
    <w:multiLevelType w:val="hybridMultilevel"/>
    <w:tmpl w:val="E41473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9044B2"/>
    <w:multiLevelType w:val="hybridMultilevel"/>
    <w:tmpl w:val="46242BD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61F322F"/>
    <w:multiLevelType w:val="hybridMultilevel"/>
    <w:tmpl w:val="E052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25021"/>
    <w:multiLevelType w:val="hybridMultilevel"/>
    <w:tmpl w:val="50E82384"/>
    <w:lvl w:ilvl="0" w:tplc="8C8A27B4">
      <w:start w:val="1"/>
      <w:numFmt w:val="decimal"/>
      <w:lvlText w:val="Observation %1."/>
      <w:lvlJc w:val="right"/>
      <w:pPr>
        <w:ind w:left="770" w:hanging="360"/>
      </w:pPr>
      <w:rPr>
        <w:rFonts w:hint="default"/>
        <w:b/>
        <w:i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37A74"/>
    <w:multiLevelType w:val="hybridMultilevel"/>
    <w:tmpl w:val="DCFA2654"/>
    <w:lvl w:ilvl="0" w:tplc="48789A4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F2E96"/>
    <w:multiLevelType w:val="hybridMultilevel"/>
    <w:tmpl w:val="C6286660"/>
    <w:lvl w:ilvl="0" w:tplc="48789A4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AC7DE1"/>
    <w:multiLevelType w:val="hybridMultilevel"/>
    <w:tmpl w:val="F33606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7C03B2"/>
    <w:multiLevelType w:val="hybridMultilevel"/>
    <w:tmpl w:val="DF987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41CD4"/>
    <w:multiLevelType w:val="hybridMultilevel"/>
    <w:tmpl w:val="C07A7CD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31" w15:restartNumberingAfterBreak="0">
    <w:nsid w:val="41911E48"/>
    <w:multiLevelType w:val="hybridMultilevel"/>
    <w:tmpl w:val="BC024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990AC8"/>
    <w:multiLevelType w:val="hybridMultilevel"/>
    <w:tmpl w:val="A90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1A7603"/>
    <w:multiLevelType w:val="hybridMultilevel"/>
    <w:tmpl w:val="958E0C46"/>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2"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9A5174"/>
    <w:multiLevelType w:val="hybridMultilevel"/>
    <w:tmpl w:val="2A36A618"/>
    <w:lvl w:ilvl="0" w:tplc="6220C18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DC42FF"/>
    <w:multiLevelType w:val="hybridMultilevel"/>
    <w:tmpl w:val="CE6A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D7676B1"/>
    <w:multiLevelType w:val="hybridMultilevel"/>
    <w:tmpl w:val="DA50A982"/>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645145">
    <w:abstractNumId w:val="30"/>
  </w:num>
  <w:num w:numId="2" w16cid:durableId="213854912">
    <w:abstractNumId w:val="15"/>
  </w:num>
  <w:num w:numId="3" w16cid:durableId="153306775">
    <w:abstractNumId w:val="29"/>
  </w:num>
  <w:num w:numId="4" w16cid:durableId="41847979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388850">
    <w:abstractNumId w:val="33"/>
  </w:num>
  <w:num w:numId="6" w16cid:durableId="1201745902">
    <w:abstractNumId w:val="2"/>
  </w:num>
  <w:num w:numId="7" w16cid:durableId="1131047376">
    <w:abstractNumId w:val="13"/>
  </w:num>
  <w:num w:numId="8" w16cid:durableId="259263076">
    <w:abstractNumId w:val="31"/>
  </w:num>
  <w:num w:numId="9" w16cid:durableId="239559243">
    <w:abstractNumId w:val="14"/>
  </w:num>
  <w:num w:numId="10" w16cid:durableId="1552183621">
    <w:abstractNumId w:val="24"/>
  </w:num>
  <w:num w:numId="11" w16cid:durableId="1065375332">
    <w:abstractNumId w:val="20"/>
  </w:num>
  <w:num w:numId="12" w16cid:durableId="1515337814">
    <w:abstractNumId w:val="9"/>
  </w:num>
  <w:num w:numId="13" w16cid:durableId="64109985">
    <w:abstractNumId w:val="7"/>
  </w:num>
  <w:num w:numId="14" w16cid:durableId="653148312">
    <w:abstractNumId w:val="11"/>
  </w:num>
  <w:num w:numId="15" w16cid:durableId="879131904">
    <w:abstractNumId w:val="4"/>
  </w:num>
  <w:num w:numId="16" w16cid:durableId="1890533940">
    <w:abstractNumId w:val="38"/>
  </w:num>
  <w:num w:numId="17" w16cid:durableId="1414552110">
    <w:abstractNumId w:val="19"/>
  </w:num>
  <w:num w:numId="18" w16cid:durableId="243883099">
    <w:abstractNumId w:val="22"/>
  </w:num>
  <w:num w:numId="19" w16cid:durableId="1790467015">
    <w:abstractNumId w:val="27"/>
  </w:num>
  <w:num w:numId="20" w16cid:durableId="92674616">
    <w:abstractNumId w:val="48"/>
  </w:num>
  <w:num w:numId="21" w16cid:durableId="224998886">
    <w:abstractNumId w:val="34"/>
  </w:num>
  <w:num w:numId="22" w16cid:durableId="308175625">
    <w:abstractNumId w:val="47"/>
  </w:num>
  <w:num w:numId="23" w16cid:durableId="1543131666">
    <w:abstractNumId w:val="6"/>
  </w:num>
  <w:num w:numId="24" w16cid:durableId="1395592215">
    <w:abstractNumId w:val="49"/>
  </w:num>
  <w:num w:numId="25" w16cid:durableId="1192035872">
    <w:abstractNumId w:val="23"/>
  </w:num>
  <w:num w:numId="26" w16cid:durableId="1571766564">
    <w:abstractNumId w:val="10"/>
  </w:num>
  <w:num w:numId="27" w16cid:durableId="508953723">
    <w:abstractNumId w:val="42"/>
  </w:num>
  <w:num w:numId="28" w16cid:durableId="1671130936">
    <w:abstractNumId w:val="39"/>
  </w:num>
  <w:num w:numId="29" w16cid:durableId="1745107311">
    <w:abstractNumId w:val="0"/>
  </w:num>
  <w:num w:numId="30" w16cid:durableId="1554192146">
    <w:abstractNumId w:val="25"/>
  </w:num>
  <w:num w:numId="31" w16cid:durableId="907299117">
    <w:abstractNumId w:val="1"/>
  </w:num>
  <w:num w:numId="32" w16cid:durableId="527530410">
    <w:abstractNumId w:val="26"/>
  </w:num>
  <w:num w:numId="33" w16cid:durableId="813373914">
    <w:abstractNumId w:val="12"/>
  </w:num>
  <w:num w:numId="34" w16cid:durableId="297734833">
    <w:abstractNumId w:val="41"/>
  </w:num>
  <w:num w:numId="35" w16cid:durableId="1620650864">
    <w:abstractNumId w:val="5"/>
  </w:num>
  <w:num w:numId="36" w16cid:durableId="650450883">
    <w:abstractNumId w:val="32"/>
  </w:num>
  <w:num w:numId="37" w16cid:durableId="1824617580">
    <w:abstractNumId w:val="8"/>
  </w:num>
  <w:num w:numId="38" w16cid:durableId="979187147">
    <w:abstractNumId w:val="43"/>
  </w:num>
  <w:num w:numId="39" w16cid:durableId="403644549">
    <w:abstractNumId w:val="28"/>
  </w:num>
  <w:num w:numId="40" w16cid:durableId="994340793">
    <w:abstractNumId w:val="46"/>
  </w:num>
  <w:num w:numId="41" w16cid:durableId="468128075">
    <w:abstractNumId w:val="16"/>
  </w:num>
  <w:num w:numId="42" w16cid:durableId="388651177">
    <w:abstractNumId w:val="3"/>
  </w:num>
  <w:num w:numId="43" w16cid:durableId="1633899129">
    <w:abstractNumId w:val="17"/>
  </w:num>
  <w:num w:numId="44" w16cid:durableId="662272027">
    <w:abstractNumId w:val="44"/>
  </w:num>
  <w:num w:numId="45" w16cid:durableId="1340502354">
    <w:abstractNumId w:val="21"/>
  </w:num>
  <w:num w:numId="46" w16cid:durableId="264776147">
    <w:abstractNumId w:val="18"/>
  </w:num>
  <w:num w:numId="47" w16cid:durableId="1194347504">
    <w:abstractNumId w:val="35"/>
  </w:num>
  <w:num w:numId="48" w16cid:durableId="481121141">
    <w:abstractNumId w:val="45"/>
  </w:num>
  <w:num w:numId="49" w16cid:durableId="434252564">
    <w:abstractNumId w:val="40"/>
  </w:num>
  <w:num w:numId="50" w16cid:durableId="14817309">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84C"/>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E23"/>
    <w:rsid w:val="00070F53"/>
    <w:rsid w:val="00070F84"/>
    <w:rsid w:val="000711E2"/>
    <w:rsid w:val="00071220"/>
    <w:rsid w:val="0007122A"/>
    <w:rsid w:val="0007124C"/>
    <w:rsid w:val="00071323"/>
    <w:rsid w:val="000714E6"/>
    <w:rsid w:val="000716BF"/>
    <w:rsid w:val="00071751"/>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C4"/>
    <w:rsid w:val="00073C56"/>
    <w:rsid w:val="00073E18"/>
    <w:rsid w:val="00073F58"/>
    <w:rsid w:val="00073FF9"/>
    <w:rsid w:val="00074165"/>
    <w:rsid w:val="0007470A"/>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F85"/>
    <w:rsid w:val="000B7FEE"/>
    <w:rsid w:val="000C00DD"/>
    <w:rsid w:val="000C02E9"/>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0FEC"/>
    <w:rsid w:val="000D1180"/>
    <w:rsid w:val="000D131A"/>
    <w:rsid w:val="000D149F"/>
    <w:rsid w:val="000D15D9"/>
    <w:rsid w:val="000D1784"/>
    <w:rsid w:val="000D178B"/>
    <w:rsid w:val="000D1849"/>
    <w:rsid w:val="000D1AE4"/>
    <w:rsid w:val="000D2466"/>
    <w:rsid w:val="000D2714"/>
    <w:rsid w:val="000D29F7"/>
    <w:rsid w:val="000D2A06"/>
    <w:rsid w:val="000D2B06"/>
    <w:rsid w:val="000D2E0C"/>
    <w:rsid w:val="000D324F"/>
    <w:rsid w:val="000D3387"/>
    <w:rsid w:val="000D35CD"/>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9D3"/>
    <w:rsid w:val="000E0BCC"/>
    <w:rsid w:val="000E0E7A"/>
    <w:rsid w:val="000E0F91"/>
    <w:rsid w:val="000E0FD4"/>
    <w:rsid w:val="000E10D1"/>
    <w:rsid w:val="000E11FC"/>
    <w:rsid w:val="000E1339"/>
    <w:rsid w:val="000E14A1"/>
    <w:rsid w:val="000E15A8"/>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D0C"/>
    <w:rsid w:val="00143E83"/>
    <w:rsid w:val="001440FD"/>
    <w:rsid w:val="001441B2"/>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D5"/>
    <w:rsid w:val="00172B60"/>
    <w:rsid w:val="00172C17"/>
    <w:rsid w:val="00172CA3"/>
    <w:rsid w:val="00172D23"/>
    <w:rsid w:val="00172F00"/>
    <w:rsid w:val="00172F96"/>
    <w:rsid w:val="00173244"/>
    <w:rsid w:val="001732B8"/>
    <w:rsid w:val="001732DE"/>
    <w:rsid w:val="0017350D"/>
    <w:rsid w:val="00173541"/>
    <w:rsid w:val="001735A3"/>
    <w:rsid w:val="001735D4"/>
    <w:rsid w:val="001736ED"/>
    <w:rsid w:val="00173743"/>
    <w:rsid w:val="00173992"/>
    <w:rsid w:val="00173B01"/>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13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48F"/>
    <w:rsid w:val="00182529"/>
    <w:rsid w:val="00182600"/>
    <w:rsid w:val="0018269F"/>
    <w:rsid w:val="0018284A"/>
    <w:rsid w:val="001828A4"/>
    <w:rsid w:val="001828F3"/>
    <w:rsid w:val="0018290D"/>
    <w:rsid w:val="00182A81"/>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2F8"/>
    <w:rsid w:val="0018631C"/>
    <w:rsid w:val="00186397"/>
    <w:rsid w:val="00186479"/>
    <w:rsid w:val="00186554"/>
    <w:rsid w:val="001865C7"/>
    <w:rsid w:val="001865E1"/>
    <w:rsid w:val="00186607"/>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301"/>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CD"/>
    <w:rsid w:val="0021607A"/>
    <w:rsid w:val="002163C5"/>
    <w:rsid w:val="002165CB"/>
    <w:rsid w:val="00216A09"/>
    <w:rsid w:val="00216C3C"/>
    <w:rsid w:val="00216D49"/>
    <w:rsid w:val="00216DA6"/>
    <w:rsid w:val="00216EB2"/>
    <w:rsid w:val="00217050"/>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95"/>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702C"/>
    <w:rsid w:val="00377038"/>
    <w:rsid w:val="003772E6"/>
    <w:rsid w:val="0037736C"/>
    <w:rsid w:val="003774D2"/>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49"/>
    <w:rsid w:val="003900CC"/>
    <w:rsid w:val="003901E0"/>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E89"/>
    <w:rsid w:val="003A2EEC"/>
    <w:rsid w:val="003A2EF4"/>
    <w:rsid w:val="003A3142"/>
    <w:rsid w:val="003A36D4"/>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71D"/>
    <w:rsid w:val="00437793"/>
    <w:rsid w:val="004377FC"/>
    <w:rsid w:val="00437959"/>
    <w:rsid w:val="004379A4"/>
    <w:rsid w:val="00437A02"/>
    <w:rsid w:val="00437AC4"/>
    <w:rsid w:val="00437B25"/>
    <w:rsid w:val="00437B47"/>
    <w:rsid w:val="00437BCD"/>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583"/>
    <w:rsid w:val="005175DF"/>
    <w:rsid w:val="00517D65"/>
    <w:rsid w:val="00520109"/>
    <w:rsid w:val="00520257"/>
    <w:rsid w:val="005203FC"/>
    <w:rsid w:val="0052042C"/>
    <w:rsid w:val="00520673"/>
    <w:rsid w:val="00520832"/>
    <w:rsid w:val="00520C2B"/>
    <w:rsid w:val="00520E62"/>
    <w:rsid w:val="00520ED2"/>
    <w:rsid w:val="00520FDB"/>
    <w:rsid w:val="0052107B"/>
    <w:rsid w:val="0052121F"/>
    <w:rsid w:val="005212E1"/>
    <w:rsid w:val="0052135E"/>
    <w:rsid w:val="00521460"/>
    <w:rsid w:val="005215B4"/>
    <w:rsid w:val="0052169B"/>
    <w:rsid w:val="00521755"/>
    <w:rsid w:val="005218FE"/>
    <w:rsid w:val="005219AC"/>
    <w:rsid w:val="00521C31"/>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E1A"/>
    <w:rsid w:val="005A6E2E"/>
    <w:rsid w:val="005A6F36"/>
    <w:rsid w:val="005A6FC9"/>
    <w:rsid w:val="005A7031"/>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10C8"/>
    <w:rsid w:val="005B121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EC"/>
    <w:rsid w:val="005D45F7"/>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B19"/>
    <w:rsid w:val="005D7B50"/>
    <w:rsid w:val="005D7C76"/>
    <w:rsid w:val="005D7ECA"/>
    <w:rsid w:val="005E012D"/>
    <w:rsid w:val="005E0173"/>
    <w:rsid w:val="005E05CF"/>
    <w:rsid w:val="005E05D2"/>
    <w:rsid w:val="005E05DE"/>
    <w:rsid w:val="005E0722"/>
    <w:rsid w:val="005E0772"/>
    <w:rsid w:val="005E0798"/>
    <w:rsid w:val="005E0993"/>
    <w:rsid w:val="005E0C60"/>
    <w:rsid w:val="005E0DC2"/>
    <w:rsid w:val="005E0F61"/>
    <w:rsid w:val="005E118E"/>
    <w:rsid w:val="005E1460"/>
    <w:rsid w:val="005E146B"/>
    <w:rsid w:val="005E14B0"/>
    <w:rsid w:val="005E14FC"/>
    <w:rsid w:val="005E16F2"/>
    <w:rsid w:val="005E175A"/>
    <w:rsid w:val="005E1768"/>
    <w:rsid w:val="005E1933"/>
    <w:rsid w:val="005E1961"/>
    <w:rsid w:val="005E1A0C"/>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33C"/>
    <w:rsid w:val="005E6413"/>
    <w:rsid w:val="005E65AA"/>
    <w:rsid w:val="005E670A"/>
    <w:rsid w:val="005E67BE"/>
    <w:rsid w:val="005E6955"/>
    <w:rsid w:val="005E6B2F"/>
    <w:rsid w:val="005E6B81"/>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974"/>
    <w:rsid w:val="00655B8A"/>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D5"/>
    <w:rsid w:val="006901C4"/>
    <w:rsid w:val="006903C1"/>
    <w:rsid w:val="006904A2"/>
    <w:rsid w:val="006905ED"/>
    <w:rsid w:val="00690819"/>
    <w:rsid w:val="0069087E"/>
    <w:rsid w:val="00690933"/>
    <w:rsid w:val="006909DE"/>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896"/>
    <w:rsid w:val="006B38A7"/>
    <w:rsid w:val="006B3E9A"/>
    <w:rsid w:val="006B40B1"/>
    <w:rsid w:val="006B417F"/>
    <w:rsid w:val="006B4663"/>
    <w:rsid w:val="006B46E5"/>
    <w:rsid w:val="006B46FF"/>
    <w:rsid w:val="006B4812"/>
    <w:rsid w:val="006B4892"/>
    <w:rsid w:val="006B494B"/>
    <w:rsid w:val="006B4965"/>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51"/>
    <w:rsid w:val="006C62B2"/>
    <w:rsid w:val="006C64B4"/>
    <w:rsid w:val="006C667C"/>
    <w:rsid w:val="006C697D"/>
    <w:rsid w:val="006C69C3"/>
    <w:rsid w:val="006C69DF"/>
    <w:rsid w:val="006C6BC8"/>
    <w:rsid w:val="006C6CAB"/>
    <w:rsid w:val="006C6FE8"/>
    <w:rsid w:val="006C71F2"/>
    <w:rsid w:val="006C7387"/>
    <w:rsid w:val="006C73FB"/>
    <w:rsid w:val="006C75AB"/>
    <w:rsid w:val="006C7640"/>
    <w:rsid w:val="006C783F"/>
    <w:rsid w:val="006C791A"/>
    <w:rsid w:val="006C7DAD"/>
    <w:rsid w:val="006D00F3"/>
    <w:rsid w:val="006D027C"/>
    <w:rsid w:val="006D035A"/>
    <w:rsid w:val="006D0567"/>
    <w:rsid w:val="006D09C3"/>
    <w:rsid w:val="006D0A37"/>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972"/>
    <w:rsid w:val="00703E95"/>
    <w:rsid w:val="00703F74"/>
    <w:rsid w:val="0070407A"/>
    <w:rsid w:val="007042BA"/>
    <w:rsid w:val="0070447F"/>
    <w:rsid w:val="0070454C"/>
    <w:rsid w:val="007045A9"/>
    <w:rsid w:val="0070468A"/>
    <w:rsid w:val="00704AED"/>
    <w:rsid w:val="00704B0F"/>
    <w:rsid w:val="00704B1A"/>
    <w:rsid w:val="00704B9D"/>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F4D"/>
    <w:rsid w:val="0071700A"/>
    <w:rsid w:val="007171EF"/>
    <w:rsid w:val="00717437"/>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8A"/>
    <w:rsid w:val="007337CF"/>
    <w:rsid w:val="0073386D"/>
    <w:rsid w:val="00733992"/>
    <w:rsid w:val="00733B24"/>
    <w:rsid w:val="00733B55"/>
    <w:rsid w:val="00733DDC"/>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963"/>
    <w:rsid w:val="007F6A3E"/>
    <w:rsid w:val="007F6B19"/>
    <w:rsid w:val="007F6CCF"/>
    <w:rsid w:val="007F6E9C"/>
    <w:rsid w:val="007F6F56"/>
    <w:rsid w:val="007F700E"/>
    <w:rsid w:val="007F706B"/>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608"/>
    <w:rsid w:val="00852731"/>
    <w:rsid w:val="00852745"/>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35"/>
    <w:rsid w:val="00897F48"/>
    <w:rsid w:val="008A004D"/>
    <w:rsid w:val="008A0079"/>
    <w:rsid w:val="008A0182"/>
    <w:rsid w:val="008A025D"/>
    <w:rsid w:val="008A0540"/>
    <w:rsid w:val="008A0A1F"/>
    <w:rsid w:val="008A0D0C"/>
    <w:rsid w:val="008A0D24"/>
    <w:rsid w:val="008A0DE3"/>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460"/>
    <w:rsid w:val="008B44D6"/>
    <w:rsid w:val="008B461E"/>
    <w:rsid w:val="008B46A8"/>
    <w:rsid w:val="008B47AE"/>
    <w:rsid w:val="008B4A3C"/>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47"/>
    <w:rsid w:val="008F4D76"/>
    <w:rsid w:val="008F4E19"/>
    <w:rsid w:val="008F5012"/>
    <w:rsid w:val="008F5045"/>
    <w:rsid w:val="008F5175"/>
    <w:rsid w:val="008F5389"/>
    <w:rsid w:val="008F5579"/>
    <w:rsid w:val="008F57BA"/>
    <w:rsid w:val="008F5A11"/>
    <w:rsid w:val="008F5BAA"/>
    <w:rsid w:val="008F5C2E"/>
    <w:rsid w:val="008F616D"/>
    <w:rsid w:val="008F64C0"/>
    <w:rsid w:val="008F6882"/>
    <w:rsid w:val="008F69A6"/>
    <w:rsid w:val="008F6CC7"/>
    <w:rsid w:val="008F6D30"/>
    <w:rsid w:val="008F6DC8"/>
    <w:rsid w:val="008F6EF6"/>
    <w:rsid w:val="008F7114"/>
    <w:rsid w:val="008F7C9F"/>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7A0"/>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8"/>
    <w:rsid w:val="00917DBB"/>
    <w:rsid w:val="00917FE6"/>
    <w:rsid w:val="00920057"/>
    <w:rsid w:val="00920199"/>
    <w:rsid w:val="009201B6"/>
    <w:rsid w:val="00920275"/>
    <w:rsid w:val="009202FA"/>
    <w:rsid w:val="0092037B"/>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E20"/>
    <w:rsid w:val="00940E9F"/>
    <w:rsid w:val="00941411"/>
    <w:rsid w:val="0094182B"/>
    <w:rsid w:val="00941957"/>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195"/>
    <w:rsid w:val="009D324C"/>
    <w:rsid w:val="009D350E"/>
    <w:rsid w:val="009D35CF"/>
    <w:rsid w:val="009D36B4"/>
    <w:rsid w:val="009D36EA"/>
    <w:rsid w:val="009D389F"/>
    <w:rsid w:val="009D3A5F"/>
    <w:rsid w:val="009D3D85"/>
    <w:rsid w:val="009D3F63"/>
    <w:rsid w:val="009D4543"/>
    <w:rsid w:val="009D45F8"/>
    <w:rsid w:val="009D4602"/>
    <w:rsid w:val="009D498A"/>
    <w:rsid w:val="009D49B8"/>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61"/>
    <w:rsid w:val="00A70393"/>
    <w:rsid w:val="00A7077A"/>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2056"/>
    <w:rsid w:val="00A820B4"/>
    <w:rsid w:val="00A820C3"/>
    <w:rsid w:val="00A82161"/>
    <w:rsid w:val="00A82272"/>
    <w:rsid w:val="00A82298"/>
    <w:rsid w:val="00A824A0"/>
    <w:rsid w:val="00A82554"/>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ED3"/>
    <w:rsid w:val="00B73EE4"/>
    <w:rsid w:val="00B741B8"/>
    <w:rsid w:val="00B741CF"/>
    <w:rsid w:val="00B7444A"/>
    <w:rsid w:val="00B74546"/>
    <w:rsid w:val="00B74551"/>
    <w:rsid w:val="00B749F1"/>
    <w:rsid w:val="00B74D02"/>
    <w:rsid w:val="00B74F02"/>
    <w:rsid w:val="00B7504B"/>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CF"/>
    <w:rsid w:val="00B965ED"/>
    <w:rsid w:val="00B9681D"/>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636"/>
    <w:rsid w:val="00BB26A1"/>
    <w:rsid w:val="00BB26F2"/>
    <w:rsid w:val="00BB2928"/>
    <w:rsid w:val="00BB29D1"/>
    <w:rsid w:val="00BB2C12"/>
    <w:rsid w:val="00BB2CFF"/>
    <w:rsid w:val="00BB2DE6"/>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629"/>
    <w:rsid w:val="00BF5715"/>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333"/>
    <w:rsid w:val="00C10383"/>
    <w:rsid w:val="00C10548"/>
    <w:rsid w:val="00C105A9"/>
    <w:rsid w:val="00C10640"/>
    <w:rsid w:val="00C10730"/>
    <w:rsid w:val="00C109E9"/>
    <w:rsid w:val="00C10AF9"/>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CD6"/>
    <w:rsid w:val="00CD1F62"/>
    <w:rsid w:val="00CD1F8D"/>
    <w:rsid w:val="00CD2270"/>
    <w:rsid w:val="00CD242B"/>
    <w:rsid w:val="00CD24A1"/>
    <w:rsid w:val="00CD25B4"/>
    <w:rsid w:val="00CD28DF"/>
    <w:rsid w:val="00CD2999"/>
    <w:rsid w:val="00CD299F"/>
    <w:rsid w:val="00CD2B42"/>
    <w:rsid w:val="00CD2D89"/>
    <w:rsid w:val="00CD2DC3"/>
    <w:rsid w:val="00CD2E22"/>
    <w:rsid w:val="00CD2EEA"/>
    <w:rsid w:val="00CD2F50"/>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93"/>
    <w:rsid w:val="00CF31B5"/>
    <w:rsid w:val="00CF3224"/>
    <w:rsid w:val="00CF336E"/>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A7"/>
    <w:rsid w:val="00D43DA2"/>
    <w:rsid w:val="00D43F2E"/>
    <w:rsid w:val="00D4403F"/>
    <w:rsid w:val="00D44099"/>
    <w:rsid w:val="00D44106"/>
    <w:rsid w:val="00D441C2"/>
    <w:rsid w:val="00D4437C"/>
    <w:rsid w:val="00D44388"/>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10BA"/>
    <w:rsid w:val="00DB12D5"/>
    <w:rsid w:val="00DB151F"/>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D47"/>
    <w:rsid w:val="00EE3DC7"/>
    <w:rsid w:val="00EE3DF1"/>
    <w:rsid w:val="00EE3FB0"/>
    <w:rsid w:val="00EE3FEF"/>
    <w:rsid w:val="00EE4058"/>
    <w:rsid w:val="00EE40A7"/>
    <w:rsid w:val="00EE429A"/>
    <w:rsid w:val="00EE4433"/>
    <w:rsid w:val="00EE4604"/>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C31"/>
    <w:rsid w:val="00FA6CA7"/>
    <w:rsid w:val="00FA7036"/>
    <w:rsid w:val="00FA705F"/>
    <w:rsid w:val="00FA71EB"/>
    <w:rsid w:val="00FA72AB"/>
    <w:rsid w:val="00FA72CE"/>
    <w:rsid w:val="00FA7319"/>
    <w:rsid w:val="00FA7341"/>
    <w:rsid w:val="00FA769F"/>
    <w:rsid w:val="00FA784E"/>
    <w:rsid w:val="00FA787A"/>
    <w:rsid w:val="00FA78D0"/>
    <w:rsid w:val="00FA7D5A"/>
    <w:rsid w:val="00FA7DAD"/>
    <w:rsid w:val="00FB00BD"/>
    <w:rsid w:val="00FB027C"/>
    <w:rsid w:val="00FB0368"/>
    <w:rsid w:val="00FB0437"/>
    <w:rsid w:val="00FB068C"/>
    <w:rsid w:val="00FB098E"/>
    <w:rsid w:val="00FB0A1C"/>
    <w:rsid w:val="00FB0E4E"/>
    <w:rsid w:val="00FB0F89"/>
    <w:rsid w:val="00FB0FE3"/>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RBI5PAMIO524-1616901215-33862</_dlc_DocId>
    <_dlc_DocIdUrl xmlns="71c5aaf6-e6ce-465b-b873-5148d2a4c105">
      <Url>https://nokia.sharepoint.com/sites/gxp/_layouts/15/DocIdRedir.aspx?ID=RBI5PAMIO524-1616901215-33862</Url>
      <Description>RBI5PAMIO524-1616901215-33862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10003</TotalTime>
  <Pages>1</Pages>
  <Words>4692</Words>
  <Characters>26748</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2680</cp:revision>
  <dcterms:created xsi:type="dcterms:W3CDTF">2024-04-17T00:22:00Z</dcterms:created>
  <dcterms:modified xsi:type="dcterms:W3CDTF">2024-11-08T18:28:00Z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4b5801a6-3714-4de6-a363-a5233f7c9653</vt:lpwstr>
  </property>
  <property fmtid="{D5CDD505-2E9C-101B-9397-08002B2CF9AE}" pid="4" name="MediaServiceImageTags">
    <vt:lpwstr/>
  </property>
</Properties>
</file>